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highlight w:val="none"/>
        </w:rPr>
      </w:pPr>
      <w:r>
        <w:rPr>
          <w:rFonts w:hint="eastAsia" w:ascii="华文中宋" w:hAnsi="华文中宋" w:eastAsia="华文中宋" w:cs="华文中宋"/>
          <w:sz w:val="44"/>
          <w:szCs w:val="44"/>
          <w:highlight w:val="none"/>
        </w:rPr>
        <w:t>黑龙江省制造业创新中心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highlight w:val="none"/>
        </w:rPr>
      </w:pPr>
      <w:r>
        <w:rPr>
          <w:rFonts w:hint="eastAsia" w:ascii="华文中宋" w:hAnsi="华文中宋" w:eastAsia="华文中宋" w:cs="华文中宋"/>
          <w:sz w:val="44"/>
          <w:szCs w:val="44"/>
          <w:highlight w:val="none"/>
        </w:rPr>
        <w:t>奖补政策实施细则</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华文中宋"/>
          <w:sz w:val="32"/>
          <w:szCs w:val="32"/>
          <w:highlight w:val="none"/>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华文中宋"/>
          <w:sz w:val="44"/>
          <w:szCs w:val="44"/>
          <w:highlight w:val="none"/>
        </w:rPr>
      </w:pPr>
      <w:r>
        <w:rPr>
          <w:rFonts w:ascii="Times New Roman" w:hAnsi="Times New Roman" w:eastAsia="黑体"/>
          <w:sz w:val="32"/>
          <w:szCs w:val="32"/>
          <w:highlight w:val="none"/>
          <w:shd w:val="clear" w:color="auto" w:fill="FFFFFF"/>
        </w:rPr>
        <w:t>第一章  总  则</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eastAsia="仿宋_GB2312"/>
          <w:sz w:val="32"/>
          <w:szCs w:val="32"/>
          <w:highlight w:val="none"/>
          <w:shd w:val="clear" w:color="auto" w:fill="FFFFFF"/>
        </w:rPr>
      </w:pPr>
      <w:r>
        <w:rPr>
          <w:rFonts w:ascii="Times New Roman" w:hAnsi="Times New Roman" w:eastAsia="黑体"/>
          <w:sz w:val="32"/>
          <w:szCs w:val="32"/>
          <w:highlight w:val="none"/>
          <w:shd w:val="clear" w:color="auto" w:fill="FFFFFF"/>
        </w:rPr>
        <w:t>第一条</w:t>
      </w:r>
      <w:r>
        <w:rPr>
          <w:rFonts w:ascii="Times New Roman" w:hAnsi="Times New Roman" w:eastAsia="仿宋_GB2312"/>
          <w:sz w:val="32"/>
          <w:szCs w:val="32"/>
          <w:highlight w:val="none"/>
          <w:shd w:val="clear" w:color="auto" w:fill="FFFFFF"/>
        </w:rPr>
        <w:t xml:space="preserve">  为鼓励和支持我省制造业创新中心建设，加强产学研用协同创新，进一步完善产业技术创新体系，推动制造业高质量发展，依据</w:t>
      </w:r>
      <w:r>
        <w:rPr>
          <w:rFonts w:hint="eastAsia" w:ascii="Times New Roman" w:hAnsi="Times New Roman" w:eastAsia="仿宋_GB2312"/>
          <w:sz w:val="32"/>
          <w:szCs w:val="32"/>
          <w:highlight w:val="none"/>
          <w:shd w:val="clear" w:color="auto" w:fill="FFFFFF"/>
          <w:lang w:eastAsia="zh-CN"/>
        </w:rPr>
        <w:t>《</w:t>
      </w:r>
      <w:r>
        <w:rPr>
          <w:rFonts w:hint="eastAsia" w:ascii="Times New Roman" w:hAnsi="Times New Roman" w:eastAsia="仿宋_GB2312"/>
          <w:sz w:val="32"/>
          <w:szCs w:val="32"/>
          <w:highlight w:val="none"/>
          <w:shd w:val="clear" w:color="auto" w:fill="FFFFFF"/>
        </w:rPr>
        <w:t>新时代龙江人才振兴60条》（黑办发〔2022〕27号）</w:t>
      </w:r>
      <w:r>
        <w:rPr>
          <w:rFonts w:hint="eastAsia" w:ascii="Times New Roman" w:hAnsi="Times New Roman" w:eastAsia="仿宋_GB2312"/>
          <w:sz w:val="32"/>
          <w:szCs w:val="32"/>
          <w:highlight w:val="none"/>
          <w:shd w:val="clear" w:color="auto" w:fill="FFFFFF"/>
          <w:lang w:eastAsia="zh-CN"/>
        </w:rPr>
        <w:t>、</w:t>
      </w:r>
      <w:r>
        <w:rPr>
          <w:rFonts w:ascii="Times New Roman" w:hAnsi="Times New Roman" w:eastAsia="仿宋_GB2312"/>
          <w:sz w:val="32"/>
          <w:szCs w:val="32"/>
          <w:highlight w:val="none"/>
          <w:shd w:val="clear" w:color="auto" w:fill="FFFFFF"/>
        </w:rPr>
        <w:t>《黑龙江省人民政府办公厅关于印发黑龙江省推动工业振兴若干政策措施的通知》（黑政办规〔2022〕8号）</w:t>
      </w:r>
      <w:r>
        <w:rPr>
          <w:rFonts w:hint="eastAsia" w:ascii="Times New Roman" w:hAnsi="Times New Roman" w:eastAsia="仿宋_GB2312"/>
          <w:sz w:val="32"/>
          <w:szCs w:val="32"/>
          <w:highlight w:val="none"/>
          <w:shd w:val="clear" w:color="auto" w:fill="FFFFFF"/>
        </w:rPr>
        <w:t>等</w:t>
      </w:r>
      <w:r>
        <w:rPr>
          <w:rFonts w:ascii="Times New Roman" w:hAnsi="Times New Roman" w:eastAsia="仿宋_GB2312"/>
          <w:sz w:val="32"/>
          <w:szCs w:val="32"/>
          <w:highlight w:val="none"/>
          <w:shd w:val="clear" w:color="auto" w:fill="FFFFFF"/>
        </w:rPr>
        <w:t>，制定本细则。</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_GB2312"/>
          <w:sz w:val="32"/>
          <w:szCs w:val="32"/>
          <w:highlight w:val="none"/>
          <w:shd w:val="clear" w:color="auto" w:fill="FFFFFF"/>
          <w:lang w:eastAsia="zh-CN"/>
        </w:rPr>
      </w:pPr>
      <w:r>
        <w:rPr>
          <w:rFonts w:ascii="Times New Roman" w:hAnsi="Times New Roman" w:eastAsia="黑体"/>
          <w:sz w:val="32"/>
          <w:szCs w:val="32"/>
          <w:highlight w:val="none"/>
          <w:shd w:val="clear" w:color="auto" w:fill="FFFFFF"/>
        </w:rPr>
        <w:t>第二条</w:t>
      </w:r>
      <w:r>
        <w:rPr>
          <w:rFonts w:ascii="Times New Roman" w:hAnsi="Times New Roman" w:eastAsia="仿宋_GB2312"/>
          <w:sz w:val="32"/>
          <w:szCs w:val="32"/>
          <w:highlight w:val="none"/>
          <w:shd w:val="clear" w:color="auto" w:fill="FFFFFF"/>
        </w:rPr>
        <w:t xml:space="preserve">  </w:t>
      </w:r>
      <w:r>
        <w:rPr>
          <w:rFonts w:hint="eastAsia" w:ascii="Times New Roman" w:hAnsi="Times New Roman" w:eastAsia="仿宋_GB2312"/>
          <w:sz w:val="32"/>
          <w:szCs w:val="32"/>
          <w:highlight w:val="none"/>
          <w:shd w:val="clear" w:color="auto" w:fill="FFFFFF"/>
          <w:lang w:eastAsia="zh-CN"/>
        </w:rPr>
        <w:t>制造业创新中心是由企业、高校院所、产业联盟等自愿组合，以独立企业法人形式运营的产学研用协同创新平台。重点开展制造业前沿技术和关键共性技术研发，推动技术成果转移扩散和首次商业化，面向行业、企业提供公共技术服务。国家级和黑龙江省制造业创新中心分别由工信部、省工信厅认定，被认定为国家级和省级制造业创新中心的企业，一律公平、公正、公开地享受政策支持。</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eastAsia="黑体"/>
          <w:sz w:val="32"/>
          <w:szCs w:val="32"/>
          <w:highlight w:val="none"/>
          <w:shd w:val="clear" w:color="auto" w:fill="FFFFFF"/>
        </w:rPr>
        <w:t>第二章  奖补标准</w:t>
      </w:r>
    </w:p>
    <w:p>
      <w:pPr>
        <w:keepNext w:val="0"/>
        <w:keepLines w:val="0"/>
        <w:pageBreakBefore w:val="0"/>
        <w:widowControl w:val="0"/>
        <w:kinsoku/>
        <w:wordWrap/>
        <w:overflowPunct/>
        <w:topLinePunct w:val="0"/>
        <w:autoSpaceDE/>
        <w:autoSpaceDN/>
        <w:bidi w:val="0"/>
        <w:adjustRightInd/>
        <w:spacing w:line="240" w:lineRule="auto"/>
        <w:ind w:firstLine="640" w:firstLineChars="200"/>
        <w:jc w:val="both"/>
        <w:textAlignment w:val="auto"/>
        <w:rPr>
          <w:rFonts w:hint="eastAsia" w:ascii="Times New Roman" w:hAnsi="Times New Roman" w:eastAsia="仿宋_GB2312"/>
          <w:sz w:val="32"/>
          <w:szCs w:val="32"/>
          <w:highlight w:val="none"/>
          <w:u w:val="single"/>
          <w:lang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rPr>
        <w:t>三</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对</w:t>
      </w:r>
      <w:r>
        <w:rPr>
          <w:rFonts w:hint="eastAsia" w:ascii="Times New Roman" w:hAnsi="Times New Roman" w:eastAsia="仿宋_GB2312"/>
          <w:sz w:val="32"/>
          <w:szCs w:val="32"/>
          <w:highlight w:val="none"/>
          <w:lang w:eastAsia="zh-CN"/>
        </w:rPr>
        <w:t>符合</w:t>
      </w:r>
      <w:r>
        <w:rPr>
          <w:rFonts w:ascii="Times New Roman" w:hAnsi="Times New Roman" w:eastAsia="仿宋_GB2312"/>
          <w:sz w:val="32"/>
          <w:szCs w:val="32"/>
          <w:highlight w:val="none"/>
        </w:rPr>
        <w:t>认定</w:t>
      </w:r>
      <w:r>
        <w:rPr>
          <w:rFonts w:hint="eastAsia" w:ascii="Times New Roman" w:hAnsi="Times New Roman" w:eastAsia="仿宋_GB2312"/>
          <w:sz w:val="32"/>
          <w:szCs w:val="32"/>
          <w:highlight w:val="none"/>
          <w:lang w:eastAsia="zh-CN"/>
        </w:rPr>
        <w:t>条件</w:t>
      </w:r>
      <w:r>
        <w:rPr>
          <w:rFonts w:ascii="Times New Roman" w:hAnsi="Times New Roman" w:eastAsia="仿宋_GB2312"/>
          <w:sz w:val="32"/>
          <w:szCs w:val="32"/>
          <w:highlight w:val="none"/>
        </w:rPr>
        <w:t>的省级制造业创新中心，按每年购置科研仪器、设备、软件等费用总和的30%给予补助，每年最高不超过300万元，连续支持3年。对</w:t>
      </w:r>
      <w:r>
        <w:rPr>
          <w:rFonts w:hint="eastAsia" w:ascii="Times New Roman" w:hAnsi="Times New Roman" w:eastAsia="仿宋_GB2312"/>
          <w:sz w:val="32"/>
          <w:szCs w:val="32"/>
          <w:highlight w:val="none"/>
          <w:lang w:eastAsia="zh-CN"/>
        </w:rPr>
        <w:t>升级为</w:t>
      </w:r>
      <w:r>
        <w:rPr>
          <w:rFonts w:ascii="Times New Roman" w:hAnsi="Times New Roman" w:eastAsia="仿宋_GB2312"/>
          <w:sz w:val="32"/>
          <w:szCs w:val="32"/>
          <w:highlight w:val="none"/>
        </w:rPr>
        <w:t>国家</w:t>
      </w:r>
      <w:r>
        <w:rPr>
          <w:rFonts w:hint="eastAsia" w:ascii="Times New Roman" w:hAnsi="Times New Roman" w:eastAsia="仿宋_GB2312"/>
          <w:sz w:val="32"/>
          <w:szCs w:val="32"/>
          <w:highlight w:val="none"/>
          <w:lang w:eastAsia="zh-CN"/>
        </w:rPr>
        <w:t>级</w:t>
      </w:r>
      <w:r>
        <w:rPr>
          <w:rFonts w:ascii="Times New Roman" w:hAnsi="Times New Roman" w:eastAsia="仿宋_GB2312"/>
          <w:sz w:val="32"/>
          <w:szCs w:val="32"/>
          <w:highlight w:val="none"/>
        </w:rPr>
        <w:t>制造业创新中心的，给予一次性奖励1000万元</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黑体"/>
          <w:sz w:val="32"/>
          <w:szCs w:val="32"/>
          <w:highlight w:val="none"/>
          <w:shd w:val="clear" w:color="auto" w:fill="FFFFFF"/>
        </w:rPr>
      </w:pPr>
      <w:r>
        <w:rPr>
          <w:rFonts w:hint="eastAsia" w:ascii="Times New Roman" w:hAnsi="Times New Roman" w:eastAsia="黑体" w:cs="Times New Roman"/>
          <w:sz w:val="32"/>
          <w:szCs w:val="32"/>
          <w:highlight w:val="none"/>
          <w:shd w:val="clear" w:color="auto" w:fill="FFFFFF"/>
          <w:lang w:eastAsia="zh-CN"/>
        </w:rPr>
        <w:t>第</w:t>
      </w:r>
      <w:r>
        <w:rPr>
          <w:rFonts w:ascii="Times New Roman" w:hAnsi="Times New Roman" w:eastAsia="黑体" w:cs="Times New Roman"/>
          <w:sz w:val="32"/>
          <w:szCs w:val="32"/>
          <w:highlight w:val="none"/>
          <w:shd w:val="clear" w:color="auto" w:fill="FFFFFF"/>
        </w:rPr>
        <w:t>三章</w:t>
      </w:r>
      <w:r>
        <w:rPr>
          <w:rFonts w:ascii="Times New Roman" w:hAnsi="Times New Roman" w:eastAsia="黑体"/>
          <w:sz w:val="32"/>
          <w:szCs w:val="32"/>
          <w:highlight w:val="none"/>
          <w:shd w:val="clear" w:color="auto" w:fill="FFFFFF"/>
        </w:rPr>
        <w:t xml:space="preserve">  兑现程序</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eastAsia="仿宋_GB2312"/>
          <w:sz w:val="32"/>
          <w:szCs w:val="32"/>
          <w:highlight w:val="none"/>
          <w:shd w:val="clear" w:color="auto" w:fill="FFFFFF"/>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rPr>
        <w:t>四</w:t>
      </w:r>
      <w:r>
        <w:rPr>
          <w:rFonts w:ascii="Times New Roman" w:hAnsi="Times New Roman" w:eastAsia="黑体"/>
          <w:sz w:val="32"/>
          <w:szCs w:val="32"/>
          <w:highlight w:val="none"/>
          <w:shd w:val="clear" w:color="auto" w:fill="FFFFFF"/>
        </w:rPr>
        <w:t>条</w:t>
      </w:r>
      <w:r>
        <w:rPr>
          <w:rFonts w:ascii="Times New Roman" w:hAnsi="Times New Roman" w:eastAsia="仿宋_GB2312"/>
          <w:b/>
          <w:bCs/>
          <w:sz w:val="32"/>
          <w:szCs w:val="32"/>
          <w:highlight w:val="none"/>
          <w:shd w:val="clear" w:color="auto" w:fill="FFFFFF"/>
        </w:rPr>
        <w:t xml:space="preserve">  </w:t>
      </w:r>
      <w:r>
        <w:rPr>
          <w:rFonts w:ascii="Times New Roman" w:hAnsi="Times New Roman" w:eastAsia="仿宋_GB2312"/>
          <w:sz w:val="32"/>
          <w:szCs w:val="32"/>
          <w:highlight w:val="none"/>
          <w:shd w:val="clear" w:color="auto" w:fill="FFFFFF"/>
        </w:rPr>
        <w:t>省级制造业创新中心奖补政策按以下程序进行：</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_GB2312"/>
          <w:sz w:val="32"/>
          <w:szCs w:val="32"/>
          <w:highlight w:val="none"/>
          <w:shd w:val="clear" w:color="auto" w:fill="FFFFFF"/>
          <w:lang w:eastAsia="zh-CN"/>
        </w:rPr>
      </w:pP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lang w:eastAsia="zh-CN"/>
        </w:rPr>
        <w:t>一</w:t>
      </w: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rPr>
        <w:t>省工信厅会同省财政厅发布政策兑现通知，明确具体工作安排和有关要求</w:t>
      </w:r>
      <w:r>
        <w:rPr>
          <w:rFonts w:hint="eastAsia" w:ascii="Times New Roman" w:hAnsi="Times New Roman" w:eastAsia="仿宋_GB2312"/>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_GB2312"/>
          <w:sz w:val="32"/>
          <w:szCs w:val="32"/>
          <w:highlight w:val="none"/>
          <w:shd w:val="clear" w:color="auto" w:fill="FFFFFF"/>
          <w:lang w:eastAsia="zh-CN"/>
        </w:rPr>
      </w:pP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lang w:eastAsia="zh-CN"/>
        </w:rPr>
        <w:t>二</w:t>
      </w: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rPr>
        <w:t>省工信厅会同</w:t>
      </w:r>
      <w:r>
        <w:rPr>
          <w:rFonts w:ascii="Times New Roman" w:hAnsi="Times New Roman" w:eastAsia="仿宋_GB2312"/>
          <w:sz w:val="32"/>
          <w:szCs w:val="32"/>
          <w:highlight w:val="none"/>
          <w:shd w:val="clear" w:color="auto" w:fill="FFFFFF"/>
        </w:rPr>
        <w:t>省财政厅委托第三方机构根据</w:t>
      </w:r>
      <w:r>
        <w:rPr>
          <w:rFonts w:hint="eastAsia" w:ascii="Times New Roman" w:hAnsi="Times New Roman" w:eastAsia="仿宋_GB2312"/>
          <w:sz w:val="32"/>
          <w:szCs w:val="32"/>
          <w:highlight w:val="none"/>
          <w:shd w:val="clear" w:color="auto" w:fill="FFFFFF"/>
        </w:rPr>
        <w:t>创新中心</w:t>
      </w:r>
      <w:r>
        <w:rPr>
          <w:rFonts w:ascii="Times New Roman" w:hAnsi="Times New Roman" w:eastAsia="仿宋_GB2312"/>
          <w:b w:val="0"/>
          <w:bCs w:val="0"/>
          <w:sz w:val="32"/>
          <w:szCs w:val="32"/>
          <w:highlight w:val="none"/>
          <w:u w:val="none"/>
        </w:rPr>
        <w:t>年度</w:t>
      </w:r>
      <w:r>
        <w:rPr>
          <w:rFonts w:ascii="Times New Roman" w:hAnsi="Times New Roman" w:eastAsia="仿宋_GB2312"/>
          <w:sz w:val="32"/>
          <w:szCs w:val="32"/>
          <w:highlight w:val="none"/>
        </w:rPr>
        <w:t>购置的科研仪器、设备及软件清单、合同发票、付款票据凭证等</w:t>
      </w:r>
      <w:r>
        <w:rPr>
          <w:rFonts w:ascii="Times New Roman" w:hAnsi="Times New Roman" w:eastAsia="仿宋_GB2312"/>
          <w:sz w:val="32"/>
          <w:szCs w:val="32"/>
          <w:highlight w:val="none"/>
          <w:shd w:val="clear" w:color="auto" w:fill="FFFFFF"/>
        </w:rPr>
        <w:t>费用情况进行审核，提出拟支持企业名单和补助额度</w:t>
      </w:r>
      <w:r>
        <w:rPr>
          <w:rFonts w:hint="eastAsia" w:ascii="Times New Roman" w:hAnsi="Times New Roman" w:eastAsia="仿宋_GB2312"/>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_GB2312" w:cs="仿宋"/>
          <w:sz w:val="32"/>
          <w:szCs w:val="32"/>
          <w:highlight w:val="none"/>
          <w:lang w:eastAsia="zh-CN"/>
        </w:rPr>
      </w:pP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lang w:eastAsia="zh-CN"/>
        </w:rPr>
        <w:t>三</w:t>
      </w:r>
      <w:r>
        <w:rPr>
          <w:rFonts w:ascii="Times New Roman" w:hAnsi="Times New Roman" w:eastAsia="仿宋_GB2312"/>
          <w:sz w:val="32"/>
          <w:szCs w:val="32"/>
          <w:highlight w:val="none"/>
          <w:shd w:val="clear" w:color="auto" w:fill="FFFFFF"/>
        </w:rPr>
        <w:t>）拟支持名单在省工信厅网站向社会公示，公示期为5个工作日。</w:t>
      </w:r>
      <w:r>
        <w:rPr>
          <w:rFonts w:hint="eastAsia" w:ascii="Times New Roman" w:hAnsi="Times New Roman" w:eastAsia="仿宋_GB2312"/>
          <w:sz w:val="32"/>
          <w:szCs w:val="32"/>
          <w:highlight w:val="none"/>
          <w:shd w:val="clear" w:color="auto" w:fill="FFFFFF"/>
        </w:rPr>
        <w:t>公示期间有异议的，及时核实处理。公示期满</w:t>
      </w:r>
      <w:r>
        <w:rPr>
          <w:rFonts w:ascii="Times New Roman" w:hAnsi="Times New Roman" w:eastAsia="仿宋_GB2312"/>
          <w:sz w:val="32"/>
          <w:szCs w:val="32"/>
          <w:highlight w:val="none"/>
          <w:shd w:val="clear" w:color="auto" w:fill="FFFFFF"/>
        </w:rPr>
        <w:t>无异议后，提请省工信厅党组会议审议</w:t>
      </w:r>
      <w:r>
        <w:rPr>
          <w:rFonts w:hint="eastAsia" w:ascii="Times New Roman" w:hAnsi="Times New Roman" w:eastAsia="仿宋_GB2312"/>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eastAsia="仿宋_GB2312"/>
          <w:kern w:val="21"/>
          <w:sz w:val="32"/>
          <w:szCs w:val="32"/>
          <w:highlight w:val="none"/>
        </w:rPr>
      </w:pP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lang w:eastAsia="zh-CN"/>
        </w:rPr>
        <w:t>四</w:t>
      </w:r>
      <w:r>
        <w:rPr>
          <w:rFonts w:ascii="Times New Roman" w:hAnsi="Times New Roman" w:eastAsia="仿宋_GB2312"/>
          <w:sz w:val="32"/>
          <w:szCs w:val="32"/>
          <w:highlight w:val="none"/>
          <w:shd w:val="clear" w:color="auto" w:fill="FFFFFF"/>
        </w:rPr>
        <w:t>）审议通过后，省工信厅会同省财政厅向省政府呈报资金拨付请示。省政府</w:t>
      </w:r>
      <w:r>
        <w:rPr>
          <w:rFonts w:hint="eastAsia" w:ascii="Times New Roman" w:hAnsi="Times New Roman" w:eastAsia="仿宋_GB2312"/>
          <w:sz w:val="32"/>
          <w:szCs w:val="32"/>
          <w:highlight w:val="none"/>
          <w:shd w:val="clear" w:color="auto" w:fill="FFFFFF"/>
        </w:rPr>
        <w:t>批准</w:t>
      </w:r>
      <w:r>
        <w:rPr>
          <w:rFonts w:ascii="Times New Roman" w:hAnsi="Times New Roman" w:eastAsia="仿宋_GB2312"/>
          <w:sz w:val="32"/>
          <w:szCs w:val="32"/>
          <w:highlight w:val="none"/>
          <w:shd w:val="clear" w:color="auto" w:fill="FFFFFF"/>
        </w:rPr>
        <w:t>后，</w:t>
      </w:r>
      <w:r>
        <w:rPr>
          <w:rFonts w:eastAsia="仿宋_GB2312"/>
          <w:kern w:val="21"/>
          <w:sz w:val="32"/>
          <w:szCs w:val="32"/>
          <w:highlight w:val="none"/>
        </w:rPr>
        <w:t>由</w:t>
      </w:r>
      <w:r>
        <w:rPr>
          <w:rFonts w:hint="eastAsia" w:eastAsia="仿宋_GB2312"/>
          <w:kern w:val="0"/>
          <w:sz w:val="32"/>
          <w:szCs w:val="32"/>
          <w:highlight w:val="none"/>
        </w:rPr>
        <w:t>省财政厅按照规定程序拨付奖补资金</w:t>
      </w:r>
      <w:r>
        <w:rPr>
          <w:rFonts w:hint="eastAsia" w:eastAsia="仿宋_GB2312"/>
          <w:kern w:val="21"/>
          <w:sz w:val="32"/>
          <w:szCs w:val="32"/>
          <w:highlight w:val="none"/>
        </w:rPr>
        <w:t>，</w:t>
      </w:r>
      <w:r>
        <w:rPr>
          <w:rFonts w:eastAsia="仿宋_GB2312"/>
          <w:kern w:val="21"/>
          <w:sz w:val="32"/>
          <w:szCs w:val="32"/>
          <w:highlight w:val="none"/>
        </w:rPr>
        <w:t>同步分解下达经省</w:t>
      </w:r>
      <w:r>
        <w:rPr>
          <w:rFonts w:hint="eastAsia" w:eastAsia="仿宋_GB2312"/>
          <w:kern w:val="21"/>
          <w:sz w:val="32"/>
          <w:szCs w:val="32"/>
          <w:highlight w:val="none"/>
        </w:rPr>
        <w:t>工信厅</w:t>
      </w:r>
      <w:r>
        <w:rPr>
          <w:rFonts w:eastAsia="仿宋_GB2312"/>
          <w:kern w:val="21"/>
          <w:sz w:val="32"/>
          <w:szCs w:val="32"/>
          <w:highlight w:val="none"/>
        </w:rPr>
        <w:t>确认的绩效考核指标。各市县财政部门应会同同级</w:t>
      </w:r>
      <w:r>
        <w:rPr>
          <w:rFonts w:hint="eastAsia" w:eastAsia="仿宋_GB2312"/>
          <w:kern w:val="21"/>
          <w:sz w:val="32"/>
          <w:szCs w:val="32"/>
          <w:highlight w:val="none"/>
        </w:rPr>
        <w:t>工信</w:t>
      </w:r>
      <w:r>
        <w:rPr>
          <w:rFonts w:eastAsia="仿宋_GB2312"/>
          <w:kern w:val="21"/>
          <w:sz w:val="32"/>
          <w:szCs w:val="32"/>
          <w:highlight w:val="none"/>
        </w:rPr>
        <w:t>部门按规定时限和要求拨付奖补资金。</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eastAsia="仿宋_GB2312"/>
          <w:kern w:val="21"/>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rPr>
        <w:t>五</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对升级为国家</w:t>
      </w:r>
      <w:r>
        <w:rPr>
          <w:rFonts w:hint="eastAsia" w:ascii="Times New Roman" w:hAnsi="Times New Roman" w:eastAsia="仿宋_GB2312"/>
          <w:sz w:val="32"/>
          <w:szCs w:val="32"/>
          <w:highlight w:val="none"/>
        </w:rPr>
        <w:t>级</w:t>
      </w:r>
      <w:r>
        <w:rPr>
          <w:rFonts w:hint="eastAsia" w:ascii="Times New Roman" w:hAnsi="Times New Roman" w:eastAsia="仿宋_GB2312"/>
          <w:sz w:val="32"/>
          <w:szCs w:val="32"/>
          <w:highlight w:val="none"/>
          <w:lang w:eastAsia="zh-CN"/>
        </w:rPr>
        <w:t>制造业</w:t>
      </w:r>
      <w:r>
        <w:rPr>
          <w:rFonts w:ascii="Times New Roman" w:hAnsi="Times New Roman" w:eastAsia="仿宋_GB2312"/>
          <w:sz w:val="32"/>
          <w:szCs w:val="32"/>
          <w:highlight w:val="none"/>
        </w:rPr>
        <w:t>创新中心</w:t>
      </w:r>
      <w:r>
        <w:rPr>
          <w:rFonts w:hint="eastAsia" w:ascii="Times New Roman" w:hAnsi="Times New Roman" w:eastAsia="仿宋_GB2312"/>
          <w:sz w:val="32"/>
          <w:szCs w:val="32"/>
          <w:highlight w:val="none"/>
          <w:u w:val="none"/>
          <w:lang w:eastAsia="zh-CN"/>
        </w:rPr>
        <w:t>的</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原则上</w:t>
      </w:r>
      <w:r>
        <w:rPr>
          <w:rFonts w:ascii="Times New Roman" w:hAnsi="Times New Roman" w:eastAsia="仿宋_GB2312"/>
          <w:sz w:val="32"/>
          <w:szCs w:val="32"/>
          <w:highlight w:val="none"/>
        </w:rPr>
        <w:t>无需提供</w:t>
      </w:r>
      <w:r>
        <w:rPr>
          <w:rFonts w:hint="eastAsia" w:ascii="Times New Roman" w:hAnsi="Times New Roman" w:eastAsia="仿宋_GB2312"/>
          <w:sz w:val="32"/>
          <w:szCs w:val="32"/>
          <w:highlight w:val="none"/>
          <w:lang w:eastAsia="zh-CN"/>
        </w:rPr>
        <w:t>申报</w:t>
      </w:r>
      <w:r>
        <w:rPr>
          <w:rFonts w:ascii="Times New Roman" w:hAnsi="Times New Roman" w:eastAsia="仿宋_GB2312"/>
          <w:sz w:val="32"/>
          <w:szCs w:val="32"/>
          <w:highlight w:val="none"/>
        </w:rPr>
        <w:t>材料</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按“免申即享”原则，由省工信厅依据工信部</w:t>
      </w:r>
      <w:r>
        <w:rPr>
          <w:rFonts w:hint="eastAsia" w:ascii="Times New Roman" w:hAnsi="Times New Roman" w:eastAsia="仿宋_GB2312"/>
          <w:sz w:val="32"/>
          <w:szCs w:val="32"/>
          <w:highlight w:val="none"/>
          <w:lang w:eastAsia="zh-CN"/>
        </w:rPr>
        <w:t>文件</w:t>
      </w:r>
      <w:r>
        <w:rPr>
          <w:rFonts w:ascii="Times New Roman" w:hAnsi="Times New Roman" w:eastAsia="仿宋_GB2312"/>
          <w:sz w:val="32"/>
          <w:szCs w:val="32"/>
          <w:highlight w:val="none"/>
        </w:rPr>
        <w:t>确定奖励名单</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会同省财政厅向省政府联合呈报资金拨付请示。</w:t>
      </w:r>
      <w:r>
        <w:rPr>
          <w:rFonts w:ascii="Times New Roman" w:hAnsi="Times New Roman" w:eastAsia="仿宋_GB2312"/>
          <w:sz w:val="32"/>
          <w:szCs w:val="32"/>
          <w:highlight w:val="none"/>
          <w:shd w:val="clear" w:color="auto" w:fill="FFFFFF"/>
        </w:rPr>
        <w:t>省政府</w:t>
      </w:r>
      <w:r>
        <w:rPr>
          <w:rFonts w:hint="eastAsia" w:ascii="Times New Roman" w:hAnsi="Times New Roman" w:eastAsia="仿宋_GB2312"/>
          <w:sz w:val="32"/>
          <w:szCs w:val="32"/>
          <w:highlight w:val="none"/>
          <w:shd w:val="clear" w:color="auto" w:fill="FFFFFF"/>
        </w:rPr>
        <w:t>批准</w:t>
      </w:r>
      <w:r>
        <w:rPr>
          <w:rFonts w:ascii="Times New Roman" w:hAnsi="Times New Roman" w:eastAsia="仿宋_GB2312"/>
          <w:sz w:val="32"/>
          <w:szCs w:val="32"/>
          <w:highlight w:val="none"/>
          <w:shd w:val="clear" w:color="auto" w:fill="FFFFFF"/>
        </w:rPr>
        <w:t>后</w:t>
      </w:r>
      <w:r>
        <w:rPr>
          <w:rFonts w:ascii="Times New Roman" w:hAnsi="Times New Roman" w:eastAsia="仿宋_GB2312"/>
          <w:sz w:val="32"/>
          <w:szCs w:val="32"/>
          <w:highlight w:val="none"/>
        </w:rPr>
        <w:t>，</w:t>
      </w:r>
      <w:r>
        <w:rPr>
          <w:rFonts w:eastAsia="仿宋_GB2312"/>
          <w:kern w:val="21"/>
          <w:sz w:val="32"/>
          <w:szCs w:val="32"/>
          <w:highlight w:val="none"/>
        </w:rPr>
        <w:t>由</w:t>
      </w:r>
      <w:r>
        <w:rPr>
          <w:rFonts w:hint="eastAsia" w:eastAsia="仿宋_GB2312"/>
          <w:kern w:val="0"/>
          <w:sz w:val="32"/>
          <w:szCs w:val="32"/>
          <w:highlight w:val="none"/>
        </w:rPr>
        <w:t>省财政厅按照规定程序拨付奖补资金</w:t>
      </w:r>
      <w:r>
        <w:rPr>
          <w:rFonts w:eastAsia="仿宋_GB2312"/>
          <w:kern w:val="21"/>
          <w:sz w:val="32"/>
          <w:szCs w:val="32"/>
          <w:highlight w:val="none"/>
        </w:rPr>
        <w:t>，同步分解下达经省</w:t>
      </w:r>
      <w:r>
        <w:rPr>
          <w:rFonts w:hint="eastAsia" w:eastAsia="仿宋_GB2312"/>
          <w:kern w:val="21"/>
          <w:sz w:val="32"/>
          <w:szCs w:val="32"/>
          <w:highlight w:val="none"/>
        </w:rPr>
        <w:t>工信厅</w:t>
      </w:r>
      <w:r>
        <w:rPr>
          <w:rFonts w:eastAsia="仿宋_GB2312"/>
          <w:kern w:val="21"/>
          <w:sz w:val="32"/>
          <w:szCs w:val="32"/>
          <w:highlight w:val="none"/>
        </w:rPr>
        <w:t>确认的绩效考核指标。各市县财政部门应会同同级</w:t>
      </w:r>
      <w:r>
        <w:rPr>
          <w:rFonts w:hint="eastAsia" w:eastAsia="仿宋_GB2312"/>
          <w:kern w:val="21"/>
          <w:sz w:val="32"/>
          <w:szCs w:val="32"/>
          <w:highlight w:val="none"/>
        </w:rPr>
        <w:t>工信</w:t>
      </w:r>
      <w:r>
        <w:rPr>
          <w:rFonts w:eastAsia="仿宋_GB2312"/>
          <w:kern w:val="21"/>
          <w:sz w:val="32"/>
          <w:szCs w:val="32"/>
          <w:highlight w:val="none"/>
        </w:rPr>
        <w:t>部门按规定时限和要求拨付奖补资金。</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黑体"/>
          <w:sz w:val="32"/>
          <w:szCs w:val="32"/>
          <w:highlight w:val="none"/>
          <w:shd w:val="clear" w:color="auto" w:fill="FFFFFF"/>
        </w:rPr>
      </w:pPr>
      <w:r>
        <w:rPr>
          <w:rFonts w:ascii="Times New Roman" w:hAnsi="Times New Roman" w:eastAsia="黑体"/>
          <w:sz w:val="32"/>
          <w:szCs w:val="32"/>
          <w:highlight w:val="none"/>
          <w:shd w:val="clear" w:color="auto" w:fill="FFFFFF"/>
        </w:rPr>
        <w:t>第四章  监督管理</w:t>
      </w:r>
    </w:p>
    <w:p>
      <w:pPr>
        <w:pStyle w:val="8"/>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eastAsia="黑体"/>
          <w:sz w:val="32"/>
          <w:szCs w:val="32"/>
          <w:highlight w:val="none"/>
        </w:rPr>
        <w:t>第六条</w:t>
      </w:r>
      <w:r>
        <w:rPr>
          <w:rFonts w:hint="eastAsia" w:ascii="仿宋" w:hAnsi="仿宋" w:eastAsia="仿宋" w:cs="仿宋"/>
          <w:sz w:val="32"/>
          <w:szCs w:val="32"/>
          <w:highlight w:val="none"/>
        </w:rPr>
        <w:t xml:space="preserve"> </w:t>
      </w:r>
      <w:r>
        <w:rPr>
          <w:rFonts w:hint="eastAsia" w:ascii="仿宋_GB2312" w:hAnsi="仿宋_GB2312" w:eastAsia="仿宋_GB2312" w:cs="仿宋_GB2312"/>
          <w:sz w:val="32"/>
          <w:szCs w:val="32"/>
          <w:highlight w:val="none"/>
        </w:rPr>
        <w:t>申报单位、省级主管部门、财政部门等应分别履行以下相应职责</w:t>
      </w:r>
      <w:r>
        <w:rPr>
          <w:rFonts w:hint="eastAsia" w:ascii="仿宋_GB2312" w:hAnsi="仿宋_GB2312" w:eastAsia="仿宋_GB2312" w:cs="仿宋_GB2312"/>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（一）申报单位应对其提交申报材料的真实性、准确性</w:t>
      </w:r>
      <w:r>
        <w:rPr>
          <w:rFonts w:hint="eastAsia" w:ascii="仿宋_GB2312" w:hAnsi="仿宋_GB2312" w:eastAsia="仿宋_GB2312" w:cs="仿宋_GB2312"/>
          <w:sz w:val="32"/>
          <w:szCs w:val="32"/>
          <w:highlight w:val="none"/>
          <w:lang w:eastAsia="zh-CN"/>
        </w:rPr>
        <w:t>、完整性、规范性</w:t>
      </w:r>
      <w:r>
        <w:rPr>
          <w:rFonts w:hint="eastAsia" w:ascii="仿宋_GB2312" w:hAnsi="仿宋_GB2312" w:eastAsia="仿宋_GB2312" w:cs="仿宋_GB2312"/>
          <w:sz w:val="32"/>
          <w:szCs w:val="32"/>
          <w:highlight w:val="none"/>
        </w:rPr>
        <w:t>负责并承担申报主体责任，自觉接受并积极配合省级主管部门及相关责任部门的监督管理。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（二）</w:t>
      </w:r>
      <w:r>
        <w:rPr>
          <w:rFonts w:eastAsia="仿宋_GB2312"/>
          <w:sz w:val="32"/>
          <w:szCs w:val="32"/>
          <w:highlight w:val="none"/>
        </w:rPr>
        <w:t>省工信厅牵头负责政策兑现的组织实施，</w:t>
      </w:r>
      <w:r>
        <w:rPr>
          <w:rFonts w:hint="eastAsia" w:ascii="仿宋_GB2312" w:hAnsi="微软雅黑" w:eastAsia="仿宋_GB2312"/>
          <w:sz w:val="32"/>
          <w:szCs w:val="32"/>
          <w:highlight w:val="none"/>
        </w:rPr>
        <w:t>履行财会监督责任，</w:t>
      </w:r>
      <w:r>
        <w:rPr>
          <w:rFonts w:eastAsia="仿宋_GB2312"/>
          <w:sz w:val="32"/>
          <w:szCs w:val="32"/>
          <w:highlight w:val="none"/>
        </w:rPr>
        <w:t>省财政厅负责统筹做好政策资金保障和分解下达</w:t>
      </w:r>
      <w:r>
        <w:rPr>
          <w:rFonts w:hint="eastAsia" w:eastAsia="仿宋_GB2312"/>
          <w:sz w:val="32"/>
          <w:szCs w:val="32"/>
          <w:highlight w:val="none"/>
        </w:rPr>
        <w:t>，</w:t>
      </w:r>
      <w:r>
        <w:rPr>
          <w:rFonts w:eastAsia="仿宋_GB2312"/>
          <w:sz w:val="32"/>
          <w:szCs w:val="32"/>
          <w:highlight w:val="none"/>
        </w:rPr>
        <w:t>督促组织做好政策执行情况的财会监督</w:t>
      </w:r>
      <w:r>
        <w:rPr>
          <w:rFonts w:hint="eastAsia" w:eastAsia="仿宋_GB2312"/>
          <w:sz w:val="32"/>
          <w:szCs w:val="32"/>
          <w:highlight w:val="none"/>
        </w:rPr>
        <w:t>，</w:t>
      </w:r>
      <w:r>
        <w:rPr>
          <w:rFonts w:eastAsia="仿宋_GB2312"/>
          <w:sz w:val="32"/>
          <w:szCs w:val="32"/>
          <w:highlight w:val="none"/>
        </w:rPr>
        <w:t>对发现的问题及时纠偏。</w:t>
      </w:r>
      <w:r>
        <w:rPr>
          <w:rFonts w:ascii="Times New Roman" w:hAnsi="Times New Roman" w:eastAsia="仿宋_GB2312"/>
          <w:sz w:val="32"/>
          <w:szCs w:val="32"/>
          <w:highlight w:val="none"/>
        </w:rPr>
        <w:t>市县财政部门应当及时拨付奖励资金。任何单位和个人不得以任何理由截留、挤占或挪用专项资金。</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eastAsia="仿宋_GB2312"/>
          <w:sz w:val="32"/>
          <w:szCs w:val="32"/>
          <w:highlight w:val="none"/>
        </w:rPr>
        <w:t>（三）第三方评审机构</w:t>
      </w:r>
      <w:r>
        <w:rPr>
          <w:rFonts w:hint="eastAsia" w:eastAsia="仿宋_GB2312"/>
          <w:sz w:val="32"/>
          <w:szCs w:val="32"/>
          <w:highlight w:val="none"/>
          <w:lang w:eastAsia="zh-CN"/>
        </w:rPr>
        <w:t>要实施全程操作痕迹，做到相关操作记录可查询、可追溯，确保评审过程的客观性和规范性，</w:t>
      </w:r>
      <w:r>
        <w:rPr>
          <w:rFonts w:eastAsia="仿宋_GB2312"/>
          <w:sz w:val="32"/>
          <w:szCs w:val="32"/>
          <w:highlight w:val="none"/>
        </w:rPr>
        <w:t>对评审结果负责并承担相应的法律责任。</w:t>
      </w:r>
      <w:r>
        <w:rPr>
          <w:rFonts w:hint="eastAsia" w:eastAsia="仿宋_GB2312"/>
          <w:sz w:val="32"/>
          <w:szCs w:val="32"/>
          <w:highlight w:val="none"/>
          <w:lang w:eastAsia="zh-CN"/>
        </w:rPr>
        <w:t>省工信厅要对第三方评审过程进行全程跟踪监督，对专家和第三方机构审核的结果进行复核，确保评审结果的准确性和真实性。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sz w:val="32"/>
          <w:szCs w:val="32"/>
          <w:highlight w:val="none"/>
          <w:shd w:val="clear" w:color="auto" w:fill="FFFFFF"/>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五</w:t>
      </w:r>
      <w:r>
        <w:rPr>
          <w:rFonts w:ascii="Times New Roman" w:hAnsi="Times New Roman" w:eastAsia="黑体"/>
          <w:sz w:val="32"/>
          <w:szCs w:val="32"/>
          <w:highlight w:val="none"/>
          <w:shd w:val="clear" w:color="auto" w:fill="FFFFFF"/>
        </w:rPr>
        <w:t xml:space="preserve">章 </w:t>
      </w:r>
      <w:r>
        <w:rPr>
          <w:rFonts w:hint="eastAsia" w:ascii="Times New Roman" w:hAnsi="Times New Roman" w:eastAsia="黑体"/>
          <w:sz w:val="32"/>
          <w:szCs w:val="32"/>
          <w:highlight w:val="none"/>
          <w:shd w:val="clear" w:color="auto" w:fill="FFFFFF"/>
        </w:rPr>
        <w:t>绩效</w:t>
      </w:r>
      <w:r>
        <w:rPr>
          <w:rFonts w:ascii="Times New Roman" w:hAnsi="Times New Roman" w:eastAsia="黑体"/>
          <w:sz w:val="32"/>
          <w:szCs w:val="32"/>
          <w:highlight w:val="none"/>
          <w:shd w:val="clear" w:color="auto" w:fill="FFFFFF"/>
        </w:rPr>
        <w:t>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sz w:val="32"/>
          <w:szCs w:val="32"/>
          <w:highlight w:val="none"/>
          <w:u w:val="none"/>
        </w:rPr>
      </w:pPr>
      <w:r>
        <w:rPr>
          <w:rFonts w:ascii="Times New Roman" w:hAnsi="Times New Roman" w:eastAsia="黑体"/>
          <w:sz w:val="32"/>
          <w:szCs w:val="32"/>
          <w:highlight w:val="none"/>
          <w:u w:val="none"/>
          <w:shd w:val="clear" w:color="auto" w:fill="FFFFFF"/>
        </w:rPr>
        <w:t>第</w:t>
      </w:r>
      <w:r>
        <w:rPr>
          <w:rFonts w:hint="eastAsia" w:ascii="Times New Roman" w:hAnsi="Times New Roman" w:eastAsia="黑体"/>
          <w:sz w:val="32"/>
          <w:szCs w:val="32"/>
          <w:highlight w:val="none"/>
          <w:u w:val="none"/>
          <w:shd w:val="clear" w:color="auto" w:fill="FFFFFF"/>
          <w:lang w:eastAsia="zh-CN"/>
        </w:rPr>
        <w:t>七</w:t>
      </w:r>
      <w:r>
        <w:rPr>
          <w:rFonts w:ascii="Times New Roman" w:hAnsi="Times New Roman" w:eastAsia="黑体"/>
          <w:sz w:val="32"/>
          <w:szCs w:val="32"/>
          <w:highlight w:val="none"/>
          <w:u w:val="none"/>
          <w:shd w:val="clear" w:color="auto" w:fill="FFFFFF"/>
        </w:rPr>
        <w:t>条</w:t>
      </w:r>
      <w:r>
        <w:rPr>
          <w:rFonts w:ascii="Times New Roman" w:hAnsi="Times New Roman" w:eastAsia="仿宋_GB2312"/>
          <w:sz w:val="32"/>
          <w:szCs w:val="32"/>
          <w:highlight w:val="none"/>
          <w:u w:val="none"/>
          <w:shd w:val="clear" w:color="auto" w:fill="FFFFFF"/>
        </w:rPr>
        <w:t xml:space="preserve">  </w:t>
      </w:r>
      <w:r>
        <w:rPr>
          <w:rFonts w:hint="eastAsia" w:ascii="仿宋_GB2312" w:hAnsi="微软雅黑" w:eastAsia="仿宋_GB2312"/>
          <w:sz w:val="32"/>
          <w:szCs w:val="32"/>
          <w:highlight w:val="none"/>
          <w:u w:val="none"/>
        </w:rPr>
        <w:t>省财政厅负责督促指导开展预算绩效管理工作。省工信厅负责全过程绩效管理，组织开展专项资金绩效目标管理、绩效运行监控、部门绩效评价等绩效管理工作。市</w:t>
      </w:r>
      <w:r>
        <w:rPr>
          <w:rFonts w:ascii="Times New Roman" w:hAnsi="Times New Roman" w:eastAsia="仿宋_GB2312"/>
          <w:sz w:val="32"/>
          <w:szCs w:val="32"/>
          <w:highlight w:val="none"/>
          <w:u w:val="none"/>
        </w:rPr>
        <w:t>县工信部门按照省工信厅相关要求</w:t>
      </w:r>
      <w:r>
        <w:rPr>
          <w:rFonts w:hint="eastAsia" w:ascii="Times New Roman" w:hAnsi="Times New Roman" w:eastAsia="仿宋_GB2312"/>
          <w:sz w:val="32"/>
          <w:szCs w:val="32"/>
          <w:highlight w:val="none"/>
          <w:u w:val="none"/>
        </w:rPr>
        <w:t>，</w:t>
      </w:r>
      <w:r>
        <w:rPr>
          <w:rFonts w:ascii="Times New Roman" w:hAnsi="Times New Roman" w:eastAsia="仿宋_GB2312"/>
          <w:sz w:val="32"/>
          <w:szCs w:val="32"/>
          <w:highlight w:val="none"/>
          <w:u w:val="none"/>
        </w:rPr>
        <w:t>负责对照绩效目标做好绩效评价工作，确保绩效目标如期实现</w:t>
      </w:r>
      <w:r>
        <w:rPr>
          <w:rFonts w:hint="eastAsia" w:ascii="Times New Roman" w:hAnsi="Times New Roman" w:eastAsia="仿宋_GB2312"/>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highlight w:val="none"/>
          <w:u w:val="none"/>
        </w:rPr>
      </w:pPr>
      <w:r>
        <w:rPr>
          <w:rFonts w:ascii="Times New Roman" w:hAnsi="Times New Roman" w:eastAsia="黑体"/>
          <w:sz w:val="32"/>
          <w:szCs w:val="32"/>
          <w:highlight w:val="none"/>
          <w:u w:val="none"/>
          <w:shd w:val="clear" w:color="auto" w:fill="FFFFFF"/>
        </w:rPr>
        <w:t>第</w:t>
      </w:r>
      <w:r>
        <w:rPr>
          <w:rFonts w:hint="eastAsia" w:ascii="Times New Roman" w:hAnsi="Times New Roman" w:eastAsia="黑体"/>
          <w:sz w:val="32"/>
          <w:szCs w:val="32"/>
          <w:highlight w:val="none"/>
          <w:u w:val="none"/>
          <w:shd w:val="clear" w:color="auto" w:fill="FFFFFF"/>
          <w:lang w:eastAsia="zh-CN"/>
        </w:rPr>
        <w:t>八</w:t>
      </w:r>
      <w:r>
        <w:rPr>
          <w:rFonts w:ascii="Times New Roman" w:hAnsi="Times New Roman" w:eastAsia="黑体"/>
          <w:sz w:val="32"/>
          <w:szCs w:val="32"/>
          <w:highlight w:val="none"/>
          <w:u w:val="none"/>
          <w:shd w:val="clear" w:color="auto" w:fill="FFFFFF"/>
        </w:rPr>
        <w:t>条</w:t>
      </w:r>
      <w:r>
        <w:rPr>
          <w:rFonts w:ascii="Times New Roman" w:hAnsi="Times New Roman" w:eastAsia="仿宋_GB2312"/>
          <w:sz w:val="32"/>
          <w:szCs w:val="32"/>
          <w:highlight w:val="none"/>
          <w:u w:val="none"/>
          <w:shd w:val="clear" w:color="auto" w:fill="FFFFFF"/>
        </w:rPr>
        <w:t xml:space="preserve">  加强事前绩效</w:t>
      </w:r>
      <w:r>
        <w:rPr>
          <w:rFonts w:hint="eastAsia" w:ascii="Times New Roman" w:hAnsi="Times New Roman" w:eastAsia="仿宋_GB2312"/>
          <w:sz w:val="32"/>
          <w:szCs w:val="32"/>
          <w:highlight w:val="none"/>
          <w:u w:val="none"/>
          <w:shd w:val="clear" w:color="auto" w:fill="FFFFFF"/>
          <w:lang w:eastAsia="zh-CN"/>
        </w:rPr>
        <w:t>目标</w:t>
      </w:r>
      <w:r>
        <w:rPr>
          <w:rFonts w:ascii="Times New Roman" w:hAnsi="Times New Roman" w:eastAsia="仿宋_GB2312"/>
          <w:sz w:val="32"/>
          <w:szCs w:val="32"/>
          <w:highlight w:val="none"/>
          <w:u w:val="none"/>
          <w:shd w:val="clear" w:color="auto" w:fill="FFFFFF"/>
        </w:rPr>
        <w:t>管理</w:t>
      </w:r>
      <w:r>
        <w:rPr>
          <w:rFonts w:hint="eastAsia" w:ascii="Times New Roman" w:hAnsi="Times New Roman" w:eastAsia="仿宋_GB2312"/>
          <w:sz w:val="32"/>
          <w:szCs w:val="32"/>
          <w:highlight w:val="none"/>
          <w:u w:val="none"/>
          <w:shd w:val="clear" w:color="auto" w:fill="FFFFFF"/>
        </w:rPr>
        <w:t>。</w:t>
      </w:r>
      <w:r>
        <w:rPr>
          <w:rFonts w:ascii="Times New Roman" w:hAnsi="Times New Roman" w:eastAsia="仿宋_GB2312"/>
          <w:sz w:val="32"/>
          <w:szCs w:val="32"/>
          <w:highlight w:val="none"/>
          <w:u w:val="none"/>
          <w:shd w:val="clear" w:color="auto" w:fill="FFFFFF"/>
        </w:rPr>
        <w:t>省工信厅根据政策目标和行业领域发展导向</w:t>
      </w:r>
      <w:r>
        <w:rPr>
          <w:rFonts w:hint="eastAsia" w:ascii="Times New Roman" w:hAnsi="Times New Roman" w:eastAsia="仿宋_GB2312"/>
          <w:sz w:val="32"/>
          <w:szCs w:val="32"/>
          <w:highlight w:val="none"/>
          <w:u w:val="none"/>
          <w:shd w:val="clear" w:color="auto" w:fill="FFFFFF"/>
        </w:rPr>
        <w:t>，</w:t>
      </w:r>
      <w:r>
        <w:rPr>
          <w:rFonts w:hint="eastAsia" w:ascii="Times New Roman" w:hAnsi="Times New Roman" w:eastAsia="仿宋_GB2312"/>
          <w:sz w:val="32"/>
          <w:szCs w:val="32"/>
          <w:highlight w:val="none"/>
          <w:u w:val="none"/>
          <w:shd w:val="clear" w:color="auto" w:fill="FFFFFF"/>
          <w:lang w:eastAsia="zh-CN"/>
        </w:rPr>
        <w:t>组织</w:t>
      </w:r>
      <w:r>
        <w:rPr>
          <w:rFonts w:ascii="Times New Roman" w:hAnsi="Times New Roman" w:eastAsia="仿宋_GB2312"/>
          <w:sz w:val="32"/>
          <w:szCs w:val="32"/>
          <w:highlight w:val="none"/>
          <w:u w:val="none"/>
          <w:shd w:val="clear" w:color="auto" w:fill="FFFFFF"/>
        </w:rPr>
        <w:t>设定可量化</w:t>
      </w:r>
      <w:r>
        <w:rPr>
          <w:rFonts w:hint="eastAsia" w:ascii="Times New Roman" w:hAnsi="Times New Roman" w:eastAsia="仿宋_GB2312"/>
          <w:sz w:val="32"/>
          <w:szCs w:val="32"/>
          <w:highlight w:val="none"/>
          <w:u w:val="none"/>
          <w:shd w:val="clear" w:color="auto" w:fill="FFFFFF"/>
        </w:rPr>
        <w:t>、</w:t>
      </w:r>
      <w:r>
        <w:rPr>
          <w:rFonts w:ascii="Times New Roman" w:hAnsi="Times New Roman" w:eastAsia="仿宋_GB2312"/>
          <w:sz w:val="32"/>
          <w:szCs w:val="32"/>
          <w:highlight w:val="none"/>
          <w:u w:val="none"/>
          <w:shd w:val="clear" w:color="auto" w:fill="FFFFFF"/>
        </w:rPr>
        <w:t>可衡量</w:t>
      </w:r>
      <w:r>
        <w:rPr>
          <w:rFonts w:hint="eastAsia" w:ascii="Times New Roman" w:hAnsi="Times New Roman" w:eastAsia="仿宋_GB2312"/>
          <w:sz w:val="32"/>
          <w:szCs w:val="32"/>
          <w:highlight w:val="none"/>
          <w:u w:val="none"/>
          <w:shd w:val="clear" w:color="auto" w:fill="FFFFFF"/>
        </w:rPr>
        <w:t>、</w:t>
      </w:r>
      <w:r>
        <w:rPr>
          <w:rFonts w:ascii="Times New Roman" w:hAnsi="Times New Roman" w:eastAsia="仿宋_GB2312"/>
          <w:sz w:val="32"/>
          <w:szCs w:val="32"/>
          <w:highlight w:val="none"/>
          <w:u w:val="none"/>
          <w:shd w:val="clear" w:color="auto" w:fill="FFFFFF"/>
        </w:rPr>
        <w:t>可定性并且符合行业特点</w:t>
      </w:r>
      <w:r>
        <w:rPr>
          <w:rFonts w:hint="eastAsia" w:ascii="Times New Roman" w:hAnsi="Times New Roman" w:eastAsia="仿宋_GB2312"/>
          <w:sz w:val="32"/>
          <w:szCs w:val="32"/>
          <w:highlight w:val="none"/>
          <w:u w:val="none"/>
          <w:shd w:val="clear" w:color="auto" w:fill="FFFFFF"/>
        </w:rPr>
        <w:t>以及</w:t>
      </w:r>
      <w:r>
        <w:rPr>
          <w:rFonts w:ascii="Times New Roman" w:hAnsi="Times New Roman" w:eastAsia="仿宋_GB2312"/>
          <w:sz w:val="32"/>
          <w:szCs w:val="32"/>
          <w:highlight w:val="none"/>
          <w:u w:val="none"/>
          <w:shd w:val="clear" w:color="auto" w:fill="FFFFFF"/>
        </w:rPr>
        <w:t>具备产出效果的绩效目标</w:t>
      </w:r>
      <w:r>
        <w:rPr>
          <w:rFonts w:hint="eastAsia" w:ascii="Times New Roman" w:hAnsi="Times New Roman" w:eastAsia="仿宋_GB2312"/>
          <w:sz w:val="32"/>
          <w:szCs w:val="32"/>
          <w:highlight w:val="none"/>
          <w:u w:val="none"/>
          <w:shd w:val="clear" w:color="auto" w:fill="FFFFFF"/>
        </w:rPr>
        <w:t>，作为绩效管理的必要性条件。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黑体"/>
          <w:spacing w:val="-10"/>
          <w:kern w:val="28"/>
          <w:sz w:val="32"/>
          <w:szCs w:val="32"/>
          <w:highlight w:val="none"/>
          <w:u w:val="none"/>
          <w:shd w:val="clear" w:color="auto" w:fill="FFFFFF"/>
        </w:rPr>
      </w:pPr>
      <w:r>
        <w:rPr>
          <w:rFonts w:ascii="Times New Roman" w:hAnsi="Times New Roman" w:eastAsia="黑体"/>
          <w:sz w:val="32"/>
          <w:szCs w:val="32"/>
          <w:highlight w:val="none"/>
          <w:u w:val="none"/>
          <w:shd w:val="clear" w:color="auto" w:fill="FFFFFF"/>
        </w:rPr>
        <w:t>第</w:t>
      </w:r>
      <w:r>
        <w:rPr>
          <w:rFonts w:hint="eastAsia" w:ascii="Times New Roman" w:hAnsi="Times New Roman" w:eastAsia="黑体"/>
          <w:sz w:val="32"/>
          <w:szCs w:val="32"/>
          <w:highlight w:val="none"/>
          <w:u w:val="none"/>
          <w:shd w:val="clear" w:color="auto" w:fill="FFFFFF"/>
          <w:lang w:eastAsia="zh-CN"/>
        </w:rPr>
        <w:t>九</w:t>
      </w:r>
      <w:r>
        <w:rPr>
          <w:rFonts w:ascii="Times New Roman" w:hAnsi="Times New Roman" w:eastAsia="黑体"/>
          <w:sz w:val="32"/>
          <w:szCs w:val="32"/>
          <w:highlight w:val="none"/>
          <w:u w:val="none"/>
          <w:shd w:val="clear" w:color="auto" w:fill="FFFFFF"/>
        </w:rPr>
        <w:t>条</w:t>
      </w:r>
      <w:r>
        <w:rPr>
          <w:rFonts w:hint="eastAsia" w:ascii="Times New Roman" w:hAnsi="Times New Roman" w:eastAsia="黑体"/>
          <w:sz w:val="32"/>
          <w:szCs w:val="32"/>
          <w:highlight w:val="none"/>
          <w:u w:val="none"/>
          <w:shd w:val="clear" w:color="auto" w:fill="FFFFFF"/>
        </w:rPr>
        <w:t xml:space="preserve">  </w:t>
      </w:r>
      <w:r>
        <w:rPr>
          <w:rFonts w:hint="eastAsia" w:ascii="Times New Roman" w:hAnsi="Times New Roman" w:eastAsia="仿宋_GB2312" w:cs="黑体"/>
          <w:spacing w:val="-10"/>
          <w:kern w:val="28"/>
          <w:sz w:val="32"/>
          <w:szCs w:val="32"/>
          <w:highlight w:val="none"/>
          <w:u w:val="none"/>
          <w:shd w:val="clear" w:color="auto" w:fill="FFFFFF"/>
        </w:rPr>
        <w:t>加强事中绩效运行监控。省工信厅在政策实施过程中，组织开展绩效目标实现程度和预算执行进度“双监控”，对监控中发现政策导向偏离绩效目标及管理漏洞，及时纠正偏差。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sz w:val="32"/>
          <w:szCs w:val="32"/>
          <w:highlight w:val="none"/>
          <w:u w:val="none"/>
          <w:lang w:eastAsia="zh-CN"/>
        </w:rPr>
      </w:pPr>
      <w:r>
        <w:rPr>
          <w:rFonts w:ascii="Times New Roman" w:hAnsi="Times New Roman" w:eastAsia="黑体"/>
          <w:sz w:val="32"/>
          <w:szCs w:val="32"/>
          <w:highlight w:val="none"/>
          <w:u w:val="none"/>
          <w:shd w:val="clear" w:color="auto" w:fill="FFFFFF"/>
        </w:rPr>
        <w:t>第</w:t>
      </w:r>
      <w:r>
        <w:rPr>
          <w:rFonts w:hint="eastAsia" w:ascii="Times New Roman" w:hAnsi="Times New Roman" w:eastAsia="黑体"/>
          <w:sz w:val="32"/>
          <w:szCs w:val="32"/>
          <w:highlight w:val="none"/>
          <w:u w:val="none"/>
          <w:shd w:val="clear" w:color="auto" w:fill="FFFFFF"/>
        </w:rPr>
        <w:t>十</w:t>
      </w:r>
      <w:r>
        <w:rPr>
          <w:rFonts w:ascii="Times New Roman" w:hAnsi="Times New Roman" w:eastAsia="黑体"/>
          <w:sz w:val="32"/>
          <w:szCs w:val="32"/>
          <w:highlight w:val="none"/>
          <w:u w:val="none"/>
          <w:shd w:val="clear" w:color="auto" w:fill="FFFFFF"/>
        </w:rPr>
        <w:t>条</w:t>
      </w:r>
      <w:r>
        <w:rPr>
          <w:rFonts w:hint="eastAsia" w:ascii="Times New Roman" w:hAnsi="Times New Roman" w:eastAsia="黑体"/>
          <w:sz w:val="32"/>
          <w:szCs w:val="32"/>
          <w:highlight w:val="none"/>
          <w:u w:val="none"/>
          <w:shd w:val="clear" w:color="auto" w:fill="FFFFFF"/>
        </w:rPr>
        <w:t xml:space="preserve">  </w:t>
      </w:r>
      <w:r>
        <w:rPr>
          <w:rFonts w:hint="eastAsia" w:ascii="Times New Roman" w:hAnsi="Times New Roman" w:eastAsia="仿宋_GB2312" w:cs="黑体"/>
          <w:spacing w:val="-10"/>
          <w:kern w:val="28"/>
          <w:sz w:val="32"/>
          <w:szCs w:val="32"/>
          <w:highlight w:val="none"/>
          <w:u w:val="none"/>
          <w:shd w:val="clear" w:color="auto" w:fill="FFFFFF"/>
        </w:rPr>
        <w:t>加强事后绩效评价。省工信厅</w:t>
      </w:r>
      <w:r>
        <w:rPr>
          <w:rFonts w:ascii="Times New Roman" w:hAnsi="Times New Roman" w:eastAsia="仿宋_GB2312"/>
          <w:sz w:val="32"/>
          <w:szCs w:val="32"/>
          <w:highlight w:val="none"/>
          <w:u w:val="none"/>
        </w:rPr>
        <w:t>负责对照绩效目标做好事后绩效评价工作，应</w:t>
      </w:r>
      <w:r>
        <w:rPr>
          <w:rFonts w:hint="eastAsia" w:ascii="仿宋_GB2312" w:hAnsi="微软雅黑" w:eastAsia="仿宋_GB2312"/>
          <w:sz w:val="32"/>
          <w:szCs w:val="32"/>
          <w:highlight w:val="none"/>
          <w:u w:val="none"/>
        </w:rPr>
        <w:t>注重投入产出效益，</w:t>
      </w:r>
      <w:r>
        <w:rPr>
          <w:rFonts w:hint="eastAsia" w:ascii="仿宋_GB2312" w:hAnsi="微软雅黑" w:eastAsia="仿宋_GB2312"/>
          <w:sz w:val="32"/>
          <w:szCs w:val="32"/>
          <w:highlight w:val="none"/>
          <w:u w:val="none"/>
          <w:lang w:eastAsia="zh-CN"/>
        </w:rPr>
        <w:t>对政策实施效果和资金使用情况开展“双评价”，提升绩效评价质量和实效。</w:t>
      </w:r>
      <w:r>
        <w:rPr>
          <w:rFonts w:hint="eastAsia" w:ascii="仿宋_GB2312" w:hAnsi="微软雅黑" w:eastAsia="仿宋_GB2312"/>
          <w:color w:val="auto"/>
          <w:sz w:val="32"/>
          <w:szCs w:val="32"/>
          <w:highlight w:val="none"/>
          <w:u w:val="none"/>
          <w:lang w:eastAsia="zh-CN"/>
        </w:rPr>
        <w:t>健全评价指标体系，将包括但不限于带动</w:t>
      </w:r>
      <w:r>
        <w:rPr>
          <w:rFonts w:hint="eastAsia" w:ascii="仿宋_GB2312" w:hAnsi="微软雅黑" w:eastAsia="仿宋_GB2312"/>
          <w:color w:val="auto"/>
          <w:sz w:val="32"/>
          <w:szCs w:val="32"/>
          <w:highlight w:val="none"/>
          <w:u w:val="none"/>
        </w:rPr>
        <w:t>新增</w:t>
      </w:r>
      <w:r>
        <w:rPr>
          <w:rFonts w:hint="eastAsia" w:ascii="仿宋_GB2312" w:hAnsi="微软雅黑" w:eastAsia="仿宋_GB2312"/>
          <w:color w:val="auto"/>
          <w:sz w:val="32"/>
          <w:szCs w:val="32"/>
          <w:highlight w:val="none"/>
          <w:u w:val="none"/>
          <w:lang w:eastAsia="zh-CN"/>
        </w:rPr>
        <w:t>研发仪器设备及软件购置、支持制造业创新中心数量</w:t>
      </w:r>
      <w:bookmarkStart w:id="0" w:name="_GoBack"/>
      <w:bookmarkEnd w:id="0"/>
      <w:r>
        <w:rPr>
          <w:rFonts w:hint="eastAsia" w:ascii="仿宋_GB2312" w:hAnsi="微软雅黑" w:eastAsia="仿宋_GB2312"/>
          <w:color w:val="auto"/>
          <w:sz w:val="32"/>
          <w:szCs w:val="32"/>
          <w:highlight w:val="none"/>
          <w:u w:val="none"/>
        </w:rPr>
        <w:t>等</w:t>
      </w:r>
      <w:r>
        <w:rPr>
          <w:rFonts w:hint="eastAsia" w:ascii="Times New Roman" w:hAnsi="Times New Roman" w:eastAsia="仿宋_GB2312"/>
          <w:color w:val="auto"/>
          <w:sz w:val="32"/>
          <w:szCs w:val="32"/>
          <w:highlight w:val="none"/>
          <w:u w:val="none"/>
        </w:rPr>
        <w:t>个性化指标作为产出效益评价</w:t>
      </w:r>
      <w:r>
        <w:rPr>
          <w:rFonts w:hint="eastAsia" w:ascii="Times New Roman" w:hAnsi="Times New Roman" w:eastAsia="仿宋_GB2312"/>
          <w:color w:val="auto"/>
          <w:sz w:val="32"/>
          <w:szCs w:val="32"/>
          <w:highlight w:val="none"/>
          <w:u w:val="none"/>
          <w:lang w:eastAsia="zh-CN"/>
        </w:rPr>
        <w:t>重点。加</w:t>
      </w:r>
      <w:r>
        <w:rPr>
          <w:rFonts w:hint="eastAsia" w:ascii="Times New Roman" w:hAnsi="Times New Roman" w:eastAsia="仿宋_GB2312"/>
          <w:sz w:val="32"/>
          <w:szCs w:val="32"/>
          <w:highlight w:val="none"/>
          <w:u w:val="none"/>
          <w:lang w:eastAsia="zh-CN"/>
        </w:rPr>
        <w:t>强绩效评价结果应用，将评价结果作为</w:t>
      </w:r>
      <w:r>
        <w:rPr>
          <w:rFonts w:hint="eastAsia" w:ascii="仿宋_GB2312" w:hAnsi="微软雅黑" w:eastAsia="仿宋_GB2312"/>
          <w:sz w:val="32"/>
          <w:szCs w:val="32"/>
          <w:highlight w:val="none"/>
          <w:u w:val="none"/>
        </w:rPr>
        <w:t>政策调整、预算安排和资金分配的重要依据</w:t>
      </w:r>
      <w:r>
        <w:rPr>
          <w:rFonts w:hint="eastAsia" w:ascii="仿宋_GB2312" w:hAnsi="微软雅黑" w:eastAsia="仿宋_GB2312"/>
          <w:sz w:val="32"/>
          <w:szCs w:val="32"/>
          <w:highlight w:val="none"/>
          <w:u w:val="none"/>
          <w:lang w:eastAsia="zh-CN"/>
        </w:rPr>
        <w:t>，对于产出效益未达预期的，对政策延续实施的必要性开展评估，根据评估结果提出应用措施。</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黑体"/>
          <w:sz w:val="32"/>
          <w:szCs w:val="32"/>
          <w:highlight w:val="none"/>
          <w:shd w:val="clear" w:color="auto" w:fill="FFFFFF"/>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六</w:t>
      </w:r>
      <w:r>
        <w:rPr>
          <w:rFonts w:ascii="Times New Roman" w:hAnsi="Times New Roman" w:eastAsia="黑体"/>
          <w:sz w:val="32"/>
          <w:szCs w:val="32"/>
          <w:highlight w:val="none"/>
          <w:shd w:val="clear" w:color="auto" w:fill="FFFFFF"/>
        </w:rPr>
        <w:t>章  附  则</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十一</w:t>
      </w:r>
      <w:r>
        <w:rPr>
          <w:rFonts w:ascii="Times New Roman" w:hAnsi="Times New Roman" w:eastAsia="黑体"/>
          <w:sz w:val="32"/>
          <w:szCs w:val="32"/>
          <w:highlight w:val="none"/>
          <w:shd w:val="clear" w:color="auto" w:fill="FFFFFF"/>
        </w:rPr>
        <w:t xml:space="preserve">条 </w:t>
      </w:r>
      <w:r>
        <w:rPr>
          <w:rFonts w:ascii="Times New Roman" w:hAnsi="Times New Roman" w:eastAsia="仿宋_GB2312"/>
          <w:sz w:val="32"/>
          <w:szCs w:val="32"/>
          <w:highlight w:val="none"/>
          <w:shd w:val="clear" w:color="auto" w:fill="FFFFFF"/>
        </w:rPr>
        <w:t xml:space="preserve"> 本细则由省工信厅、省财政厅</w:t>
      </w:r>
      <w:r>
        <w:rPr>
          <w:rFonts w:hint="eastAsia" w:ascii="Times New Roman" w:hAnsi="Times New Roman" w:eastAsia="仿宋_GB2312"/>
          <w:sz w:val="32"/>
          <w:szCs w:val="32"/>
          <w:highlight w:val="none"/>
          <w:shd w:val="clear" w:color="auto" w:fill="FFFFFF"/>
          <w:lang w:eastAsia="zh-CN"/>
        </w:rPr>
        <w:t>按职责分工分别</w:t>
      </w:r>
      <w:r>
        <w:rPr>
          <w:rFonts w:ascii="Times New Roman" w:hAnsi="Times New Roman" w:eastAsia="仿宋_GB2312"/>
          <w:sz w:val="32"/>
          <w:szCs w:val="32"/>
          <w:highlight w:val="none"/>
          <w:shd w:val="clear" w:color="auto" w:fill="FFFFFF"/>
        </w:rPr>
        <w:t>负责解释。</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highlight w:val="none"/>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十二</w:t>
      </w:r>
      <w:r>
        <w:rPr>
          <w:rFonts w:ascii="Times New Roman" w:hAnsi="Times New Roman" w:eastAsia="黑体"/>
          <w:sz w:val="32"/>
          <w:szCs w:val="32"/>
          <w:highlight w:val="none"/>
          <w:shd w:val="clear" w:color="auto" w:fill="FFFFFF"/>
        </w:rPr>
        <w:t xml:space="preserve">条 </w:t>
      </w:r>
      <w:r>
        <w:rPr>
          <w:rFonts w:ascii="Times New Roman" w:hAnsi="Times New Roman" w:eastAsia="仿宋_GB2312"/>
          <w:sz w:val="32"/>
          <w:szCs w:val="32"/>
          <w:highlight w:val="none"/>
          <w:shd w:val="clear" w:color="auto" w:fill="FFFFFF"/>
        </w:rPr>
        <w:t xml:space="preserve"> 本细则自发布</w:t>
      </w:r>
      <w:r>
        <w:rPr>
          <w:rFonts w:hint="eastAsia" w:ascii="仿宋_GB2312" w:hAnsi="仿宋_GB2312" w:eastAsia="仿宋_GB2312" w:cs="仿宋_GB2312"/>
          <w:sz w:val="32"/>
          <w:szCs w:val="32"/>
          <w:highlight w:val="none"/>
          <w:shd w:val="clear" w:color="auto" w:fill="FFFFFF"/>
        </w:rPr>
        <w:t>之日起施行</w:t>
      </w:r>
      <w:r>
        <w:rPr>
          <w:rFonts w:hint="eastAsia" w:ascii="仿宋_GB2312" w:hAnsi="仿宋_GB2312" w:eastAsia="仿宋_GB2312" w:cs="仿宋_GB2312"/>
          <w:sz w:val="32"/>
          <w:szCs w:val="32"/>
          <w:highlight w:val="none"/>
        </w:rPr>
        <w:t>，期间如有变化，将按规定作出调整。</w:t>
      </w:r>
      <w:r>
        <w:rPr>
          <w:rFonts w:hint="eastAsia" w:ascii="仿宋_GB2312" w:hAnsi="仿宋_GB2312" w:eastAsia="仿宋_GB2312" w:cs="仿宋_GB2312"/>
          <w:sz w:val="32"/>
          <w:szCs w:val="32"/>
          <w:highlight w:val="none"/>
          <w:shd w:val="clear" w:color="auto" w:fill="FFFFFF"/>
        </w:rPr>
        <w:t>现</w:t>
      </w:r>
      <w:r>
        <w:rPr>
          <w:rFonts w:ascii="Times New Roman" w:hAnsi="Times New Roman" w:eastAsia="仿宋_GB2312"/>
          <w:sz w:val="32"/>
          <w:szCs w:val="32"/>
          <w:highlight w:val="none"/>
          <w:shd w:val="clear" w:color="auto" w:fill="FFFFFF"/>
        </w:rPr>
        <w:t>行政策与本细则不一致的，按</w:t>
      </w:r>
      <w:r>
        <w:rPr>
          <w:rFonts w:hint="eastAsia" w:ascii="Times New Roman" w:hAnsi="Times New Roman" w:eastAsia="仿宋_GB2312"/>
          <w:sz w:val="32"/>
          <w:szCs w:val="32"/>
          <w:highlight w:val="none"/>
          <w:shd w:val="clear" w:color="auto" w:fill="FFFFFF"/>
        </w:rPr>
        <w:t>照</w:t>
      </w:r>
      <w:r>
        <w:rPr>
          <w:rFonts w:ascii="Times New Roman" w:hAnsi="Times New Roman" w:eastAsia="仿宋_GB2312"/>
          <w:sz w:val="32"/>
          <w:szCs w:val="32"/>
          <w:highlight w:val="none"/>
          <w:shd w:val="clear" w:color="auto" w:fill="FFFFFF"/>
        </w:rPr>
        <w:t>“就高不重复”原则执行，另有规定的除外。</w:t>
      </w:r>
      <w:r>
        <w:rPr>
          <w:rFonts w:hint="eastAsia" w:ascii="Times New Roman" w:hAnsi="Times New Roman" w:eastAsia="仿宋_GB2312"/>
          <w:sz w:val="32"/>
          <w:szCs w:val="32"/>
          <w:highlight w:val="none"/>
          <w:shd w:val="clear" w:color="auto" w:fill="FFFFFF"/>
        </w:rPr>
        <w:t>原《黑龙江省工业和信息化厅 黑龙江省财政厅关于印发黑龙江省支持企业技术改造等13个政策实施细则的通知》（黑工信规划联规〔2022〕10号）中《黑龙江省制造业创新中心奖补政策实施细则》同时废止。</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TJjMzFhMjYzNmU1MmViOGVmNmYyNDVkOWVmMDcifQ=="/>
  </w:docVars>
  <w:rsids>
    <w:rsidRoot w:val="604A35A4"/>
    <w:rsid w:val="0398705E"/>
    <w:rsid w:val="07104E14"/>
    <w:rsid w:val="105D1766"/>
    <w:rsid w:val="17977BBF"/>
    <w:rsid w:val="17B43656"/>
    <w:rsid w:val="19D59219"/>
    <w:rsid w:val="1AE277F1"/>
    <w:rsid w:val="201738B4"/>
    <w:rsid w:val="207D7099"/>
    <w:rsid w:val="2523CB66"/>
    <w:rsid w:val="2A617F10"/>
    <w:rsid w:val="2A6E5785"/>
    <w:rsid w:val="34E42621"/>
    <w:rsid w:val="3B9F27D4"/>
    <w:rsid w:val="40827192"/>
    <w:rsid w:val="4872031D"/>
    <w:rsid w:val="54275D96"/>
    <w:rsid w:val="56BFB2EB"/>
    <w:rsid w:val="56CFD5AC"/>
    <w:rsid w:val="5D3769A3"/>
    <w:rsid w:val="5EBDA7C0"/>
    <w:rsid w:val="5FFB6489"/>
    <w:rsid w:val="604A35A4"/>
    <w:rsid w:val="612E4853"/>
    <w:rsid w:val="67E53CEF"/>
    <w:rsid w:val="6F3D00B9"/>
    <w:rsid w:val="6FAE4BDE"/>
    <w:rsid w:val="6FF912B8"/>
    <w:rsid w:val="78815C1F"/>
    <w:rsid w:val="7BDEED4E"/>
    <w:rsid w:val="7BE50C19"/>
    <w:rsid w:val="7E0871BD"/>
    <w:rsid w:val="7E6FE782"/>
    <w:rsid w:val="7F66B19A"/>
    <w:rsid w:val="7FC791F8"/>
    <w:rsid w:val="7FFFB905"/>
    <w:rsid w:val="873F2367"/>
    <w:rsid w:val="8FFD784E"/>
    <w:rsid w:val="9FCEB8CE"/>
    <w:rsid w:val="BDFEB483"/>
    <w:rsid w:val="BFB951F0"/>
    <w:rsid w:val="D8F7D4DB"/>
    <w:rsid w:val="DFA59DFD"/>
    <w:rsid w:val="DFBCDFBC"/>
    <w:rsid w:val="E7DE99B1"/>
    <w:rsid w:val="EEF1F67F"/>
    <w:rsid w:val="F5FEFA7F"/>
    <w:rsid w:val="F7FB2B4B"/>
    <w:rsid w:val="F9775A32"/>
    <w:rsid w:val="F9E3C2B7"/>
    <w:rsid w:val="FBFDCAFC"/>
    <w:rsid w:val="FF77CDF1"/>
    <w:rsid w:val="FFF78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contextualSpacing/>
    </w:pPr>
    <w:rPr>
      <w:rFonts w:ascii="宋体" w:hAnsi="Calibri Light" w:eastAsia="宋体" w:cs="黑体"/>
      <w:spacing w:val="-10"/>
      <w:kern w:val="28"/>
      <w:sz w:val="56"/>
      <w:szCs w:val="5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lain Text"/>
    <w:basedOn w:val="1"/>
    <w:qFormat/>
    <w:uiPriority w:val="0"/>
    <w:rPr>
      <w:rFonts w:ascii="宋体" w:hAnsi="Courier New"/>
    </w:rPr>
  </w:style>
  <w:style w:type="paragraph" w:customStyle="1" w:styleId="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1598</Characters>
  <Lines>0</Lines>
  <Paragraphs>0</Paragraphs>
  <TotalTime>2</TotalTime>
  <ScaleCrop>false</ScaleCrop>
  <LinksUpToDate>false</LinksUpToDate>
  <CharactersWithSpaces>1630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2022-06-21T15:45:00Z</dcterms:created>
  <dc:creator>lenovo</dc:creator>
  <cp:lastModifiedBy>greatwall</cp:lastModifiedBy>
  <dcterms:modified xsi:type="dcterms:W3CDTF">2024-06-20T11:16:55Z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52602FA182454EF0A05073E13F4D11C7</vt:lpwstr>
  </property>
</Properties>
</file>