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黑龙江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数字产业企业营业收入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奖励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政策实施细则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（征求意见稿）</w:t>
      </w:r>
    </w:p>
    <w:bookmarkEnd w:id="0"/>
    <w:p>
      <w:pPr>
        <w:pStyle w:val="15"/>
        <w:widowControl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5"/>
        <w:widowControl/>
        <w:jc w:val="center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第一章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总  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第一条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为推动数字经济高质量发展，不断壮大数字产业企业营收规模，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依据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《推动“数字龙江”建设加快数字经济高质量发展若干政策措施》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（黑政规〔202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号）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制定本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细则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对履行统计填报义务、营业收入首次达到10亿元的数字产业企业，省级财政一次性奖励企业核心团队500万元。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第三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条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凡</w:t>
      </w:r>
      <w:r>
        <w:rPr>
          <w:rFonts w:ascii="Times New Roman" w:hAnsi="Times New Roman" w:eastAsia="仿宋_GB2312"/>
          <w:sz w:val="32"/>
          <w:szCs w:val="32"/>
          <w:lang w:bidi="ar"/>
        </w:rPr>
        <w:t>符合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政策规定且无严重违法失信行为的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，一律公平、公正、公开地享受政策支持。</w:t>
      </w:r>
    </w:p>
    <w:p>
      <w:pPr>
        <w:jc w:val="center"/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奖励条件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应符合以下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条件：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（一）在黑龙江省行政区域内依法登记注册。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（二）具有独立法人资格。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（三）不属于失信被执行人，且未被列入经营异常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名录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财务管理和会计核算制度健全，管理规范、核算准确，无违法违规记录。</w:t>
      </w:r>
    </w:p>
    <w:p>
      <w:pPr>
        <w:jc w:val="center"/>
        <w:rPr>
          <w:rFonts w:hint="default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兑现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方式和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第五条  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为减轻企业申报负担，采用“免申即享”方式组织兑现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对上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企业营收情况进行审核，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审核原则上采用省直部门数据比对的方式，不需企业申报。通过大数据审核无法确认是否符合奖励条件的企业，需按要求提交佐证材料。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第六条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对营业收入首次达到10亿元的数字产业企业，一次性奖励500万元。</w:t>
      </w:r>
    </w:p>
    <w:p>
      <w:pPr>
        <w:jc w:val="center"/>
        <w:rPr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兑现程序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确定名单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省工信厅依据企业实际营收情况，并与相关部门沟通进行核实，对企业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信用情况等综合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评定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提出拟奖励名单。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第八条  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名单公示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拟奖励名单通过省工信厅网站向社会公示，公示期为5个工作日。公示期间有异议的，及时核实处理。</w:t>
      </w:r>
    </w:p>
    <w:p>
      <w:pPr>
        <w:pStyle w:val="2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第九条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请示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报批</w:t>
      </w:r>
      <w:r>
        <w:rPr>
          <w:rFonts w:hint="eastAsia" w:ascii="楷体_GB2312" w:hAnsi="楷体_GB2312" w:eastAsia="楷体_GB2312" w:cs="楷体_GB2312"/>
          <w:b/>
          <w:bCs/>
          <w:sz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公示期满无异议后，提请省工信厅党组会议审议。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审议通过后，省工信厅会同省财政厅履行报省政府审批程序。</w:t>
      </w:r>
    </w:p>
    <w:p>
      <w:pPr>
        <w:pStyle w:val="17"/>
        <w:ind w:firstLine="640" w:firstLineChars="200"/>
        <w:rPr>
          <w:rFonts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条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拨付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奖励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资金</w:t>
      </w:r>
      <w:r>
        <w:rPr>
          <w:rFonts w:hint="eastAsia" w:eastAsia="仿宋_GB2312"/>
          <w:b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eastAsia="仿宋_GB2312"/>
          <w:kern w:val="21"/>
          <w:sz w:val="32"/>
          <w:szCs w:val="32"/>
        </w:rPr>
        <w:t>经</w:t>
      </w:r>
      <w:r>
        <w:rPr>
          <w:rFonts w:eastAsia="仿宋_GB2312"/>
          <w:kern w:val="21"/>
          <w:sz w:val="32"/>
          <w:szCs w:val="32"/>
        </w:rPr>
        <w:t>省政府批准后，由</w:t>
      </w:r>
      <w:r>
        <w:rPr>
          <w:rFonts w:hint="eastAsia" w:eastAsia="仿宋_GB2312"/>
          <w:kern w:val="0"/>
          <w:sz w:val="32"/>
          <w:szCs w:val="32"/>
        </w:rPr>
        <w:t>省财政厅按照规定程序拨付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hint="eastAsia" w:eastAsia="仿宋_GB2312"/>
          <w:kern w:val="0"/>
          <w:sz w:val="32"/>
          <w:szCs w:val="32"/>
        </w:rPr>
        <w:t>资金</w:t>
      </w:r>
      <w:r>
        <w:rPr>
          <w:rFonts w:eastAsia="仿宋_GB2312"/>
          <w:kern w:val="21"/>
          <w:sz w:val="32"/>
          <w:szCs w:val="32"/>
        </w:rPr>
        <w:t>。各市县财政部门会同同级</w:t>
      </w:r>
      <w:r>
        <w:rPr>
          <w:rFonts w:hint="eastAsia" w:eastAsia="仿宋_GB2312"/>
          <w:kern w:val="21"/>
          <w:sz w:val="32"/>
          <w:szCs w:val="32"/>
        </w:rPr>
        <w:t>工信</w:t>
      </w:r>
      <w:r>
        <w:rPr>
          <w:rFonts w:eastAsia="仿宋_GB2312"/>
          <w:kern w:val="21"/>
          <w:sz w:val="32"/>
          <w:szCs w:val="32"/>
        </w:rPr>
        <w:t>部门按规定时限和要求拨付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eastAsia="仿宋_GB2312"/>
          <w:kern w:val="21"/>
          <w:sz w:val="32"/>
          <w:szCs w:val="32"/>
        </w:rPr>
        <w:t>资金。</w:t>
      </w: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章  监督管理</w:t>
      </w:r>
    </w:p>
    <w:p>
      <w:pPr>
        <w:pStyle w:val="1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第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十一</w:t>
      </w:r>
      <w:r>
        <w:rPr>
          <w:rFonts w:eastAsia="黑体"/>
          <w:sz w:val="32"/>
          <w:szCs w:val="32"/>
          <w:shd w:val="clear" w:color="auto" w:fill="FFFFFF"/>
        </w:rPr>
        <w:t>条</w:t>
      </w:r>
      <w:r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eastAsia="仿宋_GB2312"/>
          <w:sz w:val="32"/>
          <w:szCs w:val="32"/>
        </w:rPr>
        <w:t>、省级主管部门等分别履行以下职责：</w:t>
      </w:r>
    </w:p>
    <w:p>
      <w:pPr>
        <w:pStyle w:val="1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ascii="Times New Roman" w:hAnsi="Times New Roman" w:eastAsia="仿宋_GB2312"/>
          <w:sz w:val="32"/>
          <w:szCs w:val="32"/>
        </w:rPr>
        <w:t>应对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上一年度实际营业收入等情况</w:t>
      </w:r>
      <w:r>
        <w:rPr>
          <w:rFonts w:ascii="Times New Roman" w:hAnsi="Times New Roman" w:eastAsia="仿宋_GB2312"/>
          <w:sz w:val="32"/>
          <w:szCs w:val="32"/>
        </w:rPr>
        <w:t>承担主体责任，接受有关部门的监督。</w:t>
      </w:r>
      <w:r>
        <w:rPr>
          <w:rFonts w:eastAsia="仿宋_GB2312"/>
          <w:sz w:val="32"/>
          <w:szCs w:val="32"/>
        </w:rPr>
        <w:t>对于存在弄虚作假骗取奖励资金的企业，一律取消奖励资格，追回奖金，依法依规严肃追究相关单位及人员责任。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（二）省工信厅牵头负责政策兑现的组织实施，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履行财会监督责任。</w:t>
      </w:r>
      <w:r>
        <w:rPr>
          <w:rFonts w:eastAsia="仿宋_GB2312"/>
          <w:sz w:val="32"/>
          <w:szCs w:val="32"/>
          <w:highlight w:val="none"/>
        </w:rPr>
        <w:t>省财政厅负责统筹做好政策资金保障和分解下达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督促组织做好政策执行情况的财会监督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对发现的问题及时纠偏。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市县财政部门应当及时拨付奖励资金。任何单位和个人不得以任何理由截留、挤占或挪用专项资金。</w:t>
      </w:r>
    </w:p>
    <w:p>
      <w:pPr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绩效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管理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省财政厅负责督促指导省工信厅开展预算绩效管理工作。省工信厅负责全过程绩效管理，组织开展专项资金绩效目标管理、绩效运行监控、部门绩效评价等绩效管理工作。市</w:t>
      </w:r>
      <w:r>
        <w:rPr>
          <w:rFonts w:ascii="Times New Roman" w:hAnsi="Times New Roman" w:eastAsia="仿宋_GB2312"/>
          <w:sz w:val="32"/>
          <w:szCs w:val="32"/>
          <w:highlight w:val="none"/>
        </w:rPr>
        <w:t>县工信部门按照省工信厅相关要求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负责对照绩效目标做好绩效评价工作，确保绩效目标如期实现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Style w:val="8"/>
        <w:ind w:firstLine="600" w:firstLineChars="200"/>
        <w:rPr>
          <w:rFonts w:hint="eastAsia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十三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加强事前绩效目标管理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省工信厅根据政策目标和行业领域发展导向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，组织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设定可量化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可衡量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可定性并且符合行业特点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以及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具备产出效果的绩效目标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，作为绩效管理的必要性条件。</w:t>
      </w:r>
    </w:p>
    <w:p>
      <w:pPr>
        <w:ind w:firstLine="640" w:firstLineChars="200"/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加强事中绩效运行监控。省工信厅在政策实施过程中，组织开展绩效目标实现程度和预算执行进度“双监控”，对监控中发现政策导向偏离绩效目标及管理漏洞，及时纠正偏差。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加强事后绩效评价。省工信厅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负责对照绩效目标做好事后绩效评价工作，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聚焦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注重投入产出效益，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对政策实施效果和资金使用情况开展“双评价”，提升绩效评价质量和实效。健全评价指标体系，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将包括但不限于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营收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10亿元以上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企业占产业营收比重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个性化指标作为产出效益评价重点。加强</w:t>
      </w:r>
      <w:r>
        <w:rPr>
          <w:rFonts w:ascii="Times New Roman" w:hAnsi="Times New Roman" w:eastAsia="仿宋_GB2312"/>
          <w:sz w:val="32"/>
          <w:szCs w:val="32"/>
          <w:highlight w:val="none"/>
        </w:rPr>
        <w:t>绩效评价结果应用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将评价结果作为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政策调整、预算安排和资金分配的重要依据，对于产出效益未达预期的，对政策延续实施的必要性开展评估，根据评估结果提出应用措施。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章  附  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本细则由省工信厅、省财政厅按照职责分工分别负责解释。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本细则自印发之日起实施，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有效期与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政策措施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》保持一致，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期间如有变化，将按规定作出调整。</w:t>
      </w:r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3CC6E-C258-414C-B5A8-5AF7780B41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2596A6-1A1D-41EC-B399-6A1B4185AC48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162B3A-15BC-471E-8F80-96D46460946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884550-0152-4813-81E8-8084A50BE466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CABD0D3-D22B-458A-9337-88F982BDE7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0833105B-1209-4A6C-83DC-25C5C922B7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ZjgyMDRkZWZiNzhmMDE2NGQyNzBlODhhZTFlZjMifQ=="/>
  </w:docVars>
  <w:rsids>
    <w:rsidRoot w:val="00000000"/>
    <w:rsid w:val="0DF22954"/>
    <w:rsid w:val="0F493F55"/>
    <w:rsid w:val="14102404"/>
    <w:rsid w:val="297F9F5E"/>
    <w:rsid w:val="328266E3"/>
    <w:rsid w:val="337FAB5D"/>
    <w:rsid w:val="35EFB717"/>
    <w:rsid w:val="392F93D7"/>
    <w:rsid w:val="3BBDC215"/>
    <w:rsid w:val="3BE16F0C"/>
    <w:rsid w:val="3F2E9895"/>
    <w:rsid w:val="3FE27C4C"/>
    <w:rsid w:val="3FF60525"/>
    <w:rsid w:val="41957442"/>
    <w:rsid w:val="42762269"/>
    <w:rsid w:val="47FFB8A2"/>
    <w:rsid w:val="4F7D4CAC"/>
    <w:rsid w:val="59EF23DA"/>
    <w:rsid w:val="5BEF7C93"/>
    <w:rsid w:val="5DB03C33"/>
    <w:rsid w:val="5DFD7063"/>
    <w:rsid w:val="5F22C49F"/>
    <w:rsid w:val="5FBACA93"/>
    <w:rsid w:val="5FF660A0"/>
    <w:rsid w:val="636FCD1E"/>
    <w:rsid w:val="63746A4D"/>
    <w:rsid w:val="67DF7299"/>
    <w:rsid w:val="67FFDC8A"/>
    <w:rsid w:val="69F79B96"/>
    <w:rsid w:val="6E799A5E"/>
    <w:rsid w:val="6FFF62D0"/>
    <w:rsid w:val="6FFFBF7A"/>
    <w:rsid w:val="736B6005"/>
    <w:rsid w:val="75EDC82D"/>
    <w:rsid w:val="76AE5512"/>
    <w:rsid w:val="78DF5000"/>
    <w:rsid w:val="7B9F0C72"/>
    <w:rsid w:val="7BFFCD27"/>
    <w:rsid w:val="7C3D2D75"/>
    <w:rsid w:val="7CAFCD02"/>
    <w:rsid w:val="7D3AB1E4"/>
    <w:rsid w:val="7E3BB046"/>
    <w:rsid w:val="7EECD582"/>
    <w:rsid w:val="7EFBD364"/>
    <w:rsid w:val="7EFF7B15"/>
    <w:rsid w:val="7F037303"/>
    <w:rsid w:val="7F59D58B"/>
    <w:rsid w:val="7F9632B1"/>
    <w:rsid w:val="7FCD2365"/>
    <w:rsid w:val="7FCFF9BE"/>
    <w:rsid w:val="7FDF173C"/>
    <w:rsid w:val="7FF94E1D"/>
    <w:rsid w:val="7FFDA612"/>
    <w:rsid w:val="7FFF08F5"/>
    <w:rsid w:val="8DEFCDB4"/>
    <w:rsid w:val="AEF7C7CA"/>
    <w:rsid w:val="B3D1CFA7"/>
    <w:rsid w:val="B9E511AF"/>
    <w:rsid w:val="BB55741F"/>
    <w:rsid w:val="BBFF26D4"/>
    <w:rsid w:val="BDB52D3B"/>
    <w:rsid w:val="BDFF82A4"/>
    <w:rsid w:val="BE7E4026"/>
    <w:rsid w:val="BFBBEEFE"/>
    <w:rsid w:val="C7FBE67D"/>
    <w:rsid w:val="CAFF6D39"/>
    <w:rsid w:val="CBBAAC2D"/>
    <w:rsid w:val="CBBB2967"/>
    <w:rsid w:val="CFA7ABCA"/>
    <w:rsid w:val="DB3D755B"/>
    <w:rsid w:val="DCEDF056"/>
    <w:rsid w:val="DE8F46A6"/>
    <w:rsid w:val="DEFFC49C"/>
    <w:rsid w:val="DF8FB2AB"/>
    <w:rsid w:val="DFBF59DF"/>
    <w:rsid w:val="DFCA388F"/>
    <w:rsid w:val="DFF7F39C"/>
    <w:rsid w:val="DFFF41C0"/>
    <w:rsid w:val="E8F3EC18"/>
    <w:rsid w:val="EAF656FD"/>
    <w:rsid w:val="EDEF71B3"/>
    <w:rsid w:val="EDFD0D08"/>
    <w:rsid w:val="F7EF79BE"/>
    <w:rsid w:val="F9775306"/>
    <w:rsid w:val="F9FD4716"/>
    <w:rsid w:val="F9FF1C51"/>
    <w:rsid w:val="F9FF2905"/>
    <w:rsid w:val="FD9F7EA6"/>
    <w:rsid w:val="FDD9DAF2"/>
    <w:rsid w:val="FDE7E532"/>
    <w:rsid w:val="FE3FDF53"/>
    <w:rsid w:val="FEB9F63A"/>
    <w:rsid w:val="FEF5D6F1"/>
    <w:rsid w:val="FEF7F4B0"/>
    <w:rsid w:val="FEFE6BEF"/>
    <w:rsid w:val="FF3FE0CF"/>
    <w:rsid w:val="FFC73CAF"/>
    <w:rsid w:val="FFDDE857"/>
    <w:rsid w:val="FFE78F33"/>
    <w:rsid w:val="FFE9EFED"/>
    <w:rsid w:val="FFEF1D92"/>
    <w:rsid w:val="FFF32645"/>
    <w:rsid w:val="FFF74852"/>
    <w:rsid w:val="FFFF6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Title"/>
    <w:basedOn w:val="1"/>
    <w:next w:val="1"/>
    <w:qFormat/>
    <w:uiPriority w:val="0"/>
    <w:pPr>
      <w:contextualSpacing/>
    </w:pPr>
    <w:rPr>
      <w:rFonts w:ascii="宋体" w:hAnsi="Calibri Light" w:eastAsia="宋体" w:cs="黑体"/>
      <w:spacing w:val="-10"/>
      <w:kern w:val="28"/>
      <w:sz w:val="56"/>
      <w:szCs w:val="56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5">
    <w:name w:val="Normal (Web)"/>
    <w:basedOn w:val="1"/>
    <w:qFormat/>
    <w:uiPriority w:val="0"/>
    <w:rPr>
      <w:sz w:val="24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1538</Words>
  <Characters>1549</Characters>
  <TotalTime>0</TotalTime>
  <ScaleCrop>false</ScaleCrop>
  <LinksUpToDate>false</LinksUpToDate>
  <CharactersWithSpaces>1600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2018-12-08T17:47:00Z</dcterms:created>
  <dc:creator>greatwall</dc:creator>
  <cp:lastModifiedBy>筱晗</cp:lastModifiedBy>
  <cp:lastPrinted>2023-11-09T22:33:06Z</cp:lastPrinted>
  <dcterms:modified xsi:type="dcterms:W3CDTF">2024-06-19T06:37:25Z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BB8CFBE25CB9461488E63AF9E7E7C735_13</vt:lpwstr>
  </property>
</Properties>
</file>