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Cs/>
          <w:color w:val="auto"/>
          <w:sz w:val="44"/>
          <w:szCs w:val="44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黑龙江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工信部试点示范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奖励政策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</w:rPr>
        <w:t>实施细则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  <w:bookmarkEnd w:id="0"/>
    </w:p>
    <w:p>
      <w:pPr>
        <w:pStyle w:val="15"/>
        <w:widowControl/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15"/>
        <w:widowControl/>
        <w:jc w:val="center"/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第一章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总  则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为推动新一代信息技术与各行业深度融合，加快培育一批优秀解决方案，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依据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《推动“数字龙江”建设加快数字经济高质量发展若干政策措施》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（黑政规〔202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号）</w:t>
      </w:r>
      <w:r>
        <w:rPr>
          <w:rFonts w:hint="default" w:ascii="Times New Roman" w:hAnsi="Times New Roman" w:eastAsia="仿宋_GB2312"/>
          <w:sz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制定本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细则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第二条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对获得工信部工业互联网、大数据、5G、信息消费等试点示范牵头单位，奖励50万元。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第三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条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凡</w:t>
      </w:r>
      <w:r>
        <w:rPr>
          <w:rFonts w:ascii="Times New Roman" w:hAnsi="Times New Roman" w:eastAsia="仿宋_GB2312"/>
          <w:sz w:val="32"/>
          <w:szCs w:val="32"/>
          <w:lang w:bidi="ar"/>
        </w:rPr>
        <w:t>符合</w:t>
      </w:r>
      <w:r>
        <w:rPr>
          <w:rFonts w:hint="eastAsia" w:ascii="Times New Roman" w:hAnsi="Times New Roman" w:eastAsia="仿宋_GB2312"/>
          <w:sz w:val="32"/>
          <w:szCs w:val="32"/>
          <w:lang w:eastAsia="zh-CN" w:bidi="ar"/>
        </w:rPr>
        <w:t>政策规定且无严重违法失信行为的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，一律公平、公正、公开地享受政策支持。</w:t>
      </w:r>
    </w:p>
    <w:p>
      <w:pPr>
        <w:jc w:val="center"/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奖励条件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第四条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牵头单位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应符合以下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条件：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（一）在黑龙江省行政区域内依法登记注册。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（二）具有独立法人资格。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（三）不属于失信被执行人，且未被列入经营异常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名录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shd w:val="clear" w:color="auto" w:fill="FFFFFF"/>
        </w:rPr>
        <w:t>财务管理和会计核算制度健全，管理规范、核算准确，无违法违规记录。</w:t>
      </w:r>
    </w:p>
    <w:p>
      <w:pPr>
        <w:jc w:val="center"/>
        <w:rPr>
          <w:rFonts w:hint="default" w:ascii="Times New Roman" w:hAnsi="Times New Roman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兑现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方式和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第五条 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为减轻企业申报负担，采用“免申即享”方式组织兑现。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第六条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对入选工信部试点示范的单位，一次性奖励50万元，牵头单位的同一项目只能获得一次奖励。</w:t>
      </w:r>
    </w:p>
    <w:p>
      <w:pPr>
        <w:jc w:val="center"/>
        <w:rPr>
          <w:rFonts w:hint="default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兑现程序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确定名单</w:t>
      </w:r>
      <w:r>
        <w:rPr>
          <w:rFonts w:hint="eastAsia" w:ascii="Times New Roman" w:hAnsi="Times New Roman" w:eastAsia="仿宋_GB2312"/>
          <w:b/>
          <w:bCs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省工信厅依据工信部公布的试点示范公示名单，对入选名单的牵头单位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信用情况等综合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评定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提出拟奖励名单。</w:t>
      </w:r>
    </w:p>
    <w:p>
      <w:pPr>
        <w:pStyle w:val="2"/>
        <w:ind w:firstLine="64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第八条  </w:t>
      </w: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名单公示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拟奖励名单通过省工信厅网站向社会公示，公示期为5个工作日。公示期间有异议的，及时核实处理。</w:t>
      </w:r>
    </w:p>
    <w:p>
      <w:pPr>
        <w:pStyle w:val="2"/>
        <w:ind w:firstLine="640"/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第九条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请示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报批</w:t>
      </w:r>
      <w:r>
        <w:rPr>
          <w:rFonts w:hint="eastAsia" w:ascii="楷体_GB2312" w:hAnsi="楷体_GB2312" w:eastAsia="楷体_GB2312" w:cs="楷体_GB2312"/>
          <w:b/>
          <w:bCs/>
          <w:sz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公示期满无异议后，提请省工信厅党组会议审议。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审议通过后，省工信厅会同省财政厅履行报省政府审批程序。</w:t>
      </w:r>
    </w:p>
    <w:p>
      <w:pPr>
        <w:pStyle w:val="17"/>
        <w:ind w:firstLine="640" w:firstLineChars="200"/>
        <w:rPr>
          <w:rFonts w:eastAsia="仿宋_GB2312"/>
          <w:kern w:val="21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第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十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条</w:t>
      </w: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</w:rPr>
        <w:t>拨付</w:t>
      </w:r>
      <w:r>
        <w:rPr>
          <w:rFonts w:hint="eastAsia" w:ascii="楷体_GB2312" w:hAnsi="楷体_GB2312" w:eastAsia="楷体_GB2312" w:cs="楷体_GB2312"/>
          <w:b/>
          <w:bCs/>
          <w:sz w:val="32"/>
          <w:lang w:eastAsia="zh-CN"/>
        </w:rPr>
        <w:t>奖励</w:t>
      </w:r>
      <w:r>
        <w:rPr>
          <w:rFonts w:hint="eastAsia" w:ascii="楷体_GB2312" w:hAnsi="楷体_GB2312" w:eastAsia="楷体_GB2312" w:cs="楷体_GB2312"/>
          <w:b/>
          <w:bCs/>
          <w:sz w:val="32"/>
        </w:rPr>
        <w:t>资金</w:t>
      </w:r>
      <w:r>
        <w:rPr>
          <w:rFonts w:hint="eastAsia" w:eastAsia="仿宋_GB2312"/>
          <w:b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eastAsia="仿宋_GB2312"/>
          <w:kern w:val="21"/>
          <w:sz w:val="32"/>
          <w:szCs w:val="32"/>
        </w:rPr>
        <w:t>经</w:t>
      </w:r>
      <w:r>
        <w:rPr>
          <w:rFonts w:eastAsia="仿宋_GB2312"/>
          <w:kern w:val="21"/>
          <w:sz w:val="32"/>
          <w:szCs w:val="32"/>
        </w:rPr>
        <w:t>省政府批准后，由</w:t>
      </w:r>
      <w:r>
        <w:rPr>
          <w:rFonts w:hint="eastAsia" w:eastAsia="仿宋_GB2312"/>
          <w:kern w:val="0"/>
          <w:sz w:val="32"/>
          <w:szCs w:val="32"/>
        </w:rPr>
        <w:t>省财政厅按照规定程序拨付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hint="eastAsia" w:eastAsia="仿宋_GB2312"/>
          <w:kern w:val="0"/>
          <w:sz w:val="32"/>
          <w:szCs w:val="32"/>
        </w:rPr>
        <w:t>资金</w:t>
      </w:r>
      <w:r>
        <w:rPr>
          <w:rFonts w:eastAsia="仿宋_GB2312"/>
          <w:kern w:val="21"/>
          <w:sz w:val="32"/>
          <w:szCs w:val="32"/>
        </w:rPr>
        <w:t>。各市县财政部门会同同级</w:t>
      </w:r>
      <w:r>
        <w:rPr>
          <w:rFonts w:hint="eastAsia" w:eastAsia="仿宋_GB2312"/>
          <w:kern w:val="21"/>
          <w:sz w:val="32"/>
          <w:szCs w:val="32"/>
        </w:rPr>
        <w:t>工信</w:t>
      </w:r>
      <w:r>
        <w:rPr>
          <w:rFonts w:eastAsia="仿宋_GB2312"/>
          <w:kern w:val="21"/>
          <w:sz w:val="32"/>
          <w:szCs w:val="32"/>
        </w:rPr>
        <w:t>部门按规定时限和要求拨付</w:t>
      </w:r>
      <w:r>
        <w:rPr>
          <w:rFonts w:hint="eastAsia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奖励</w:t>
      </w:r>
      <w:r>
        <w:rPr>
          <w:rFonts w:eastAsia="仿宋_GB2312"/>
          <w:kern w:val="21"/>
          <w:sz w:val="32"/>
          <w:szCs w:val="32"/>
        </w:rPr>
        <w:t>资金。</w:t>
      </w:r>
    </w:p>
    <w:p>
      <w:pPr>
        <w:jc w:val="center"/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  <w:shd w:val="clear" w:color="auto" w:fill="FFFFFF"/>
        </w:rPr>
        <w:t>章  监督管理</w:t>
      </w:r>
    </w:p>
    <w:p>
      <w:pPr>
        <w:pStyle w:val="1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  <w:shd w:val="clear" w:color="auto" w:fill="FFFFFF"/>
        </w:rPr>
        <w:t>第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十一</w:t>
      </w:r>
      <w:r>
        <w:rPr>
          <w:rFonts w:eastAsia="黑体"/>
          <w:sz w:val="32"/>
          <w:szCs w:val="32"/>
          <w:shd w:val="clear" w:color="auto" w:fill="FFFFFF"/>
        </w:rPr>
        <w:t>条</w:t>
      </w:r>
      <w:r>
        <w:rPr>
          <w:rFonts w:eastAsia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牵头单位</w:t>
      </w:r>
      <w:r>
        <w:rPr>
          <w:rFonts w:eastAsia="仿宋_GB2312"/>
          <w:sz w:val="32"/>
          <w:szCs w:val="32"/>
        </w:rPr>
        <w:t>、省级主管部门等分别履行以下职责：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牵头单位</w:t>
      </w:r>
      <w:r>
        <w:rPr>
          <w:rFonts w:ascii="Times New Roman" w:hAnsi="Times New Roman" w:eastAsia="仿宋_GB2312"/>
          <w:sz w:val="32"/>
          <w:szCs w:val="32"/>
        </w:rPr>
        <w:t>应对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入选项目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材料的真实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完成性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况</w:t>
      </w:r>
      <w:r>
        <w:rPr>
          <w:rFonts w:ascii="Times New Roman" w:hAnsi="Times New Roman" w:eastAsia="仿宋_GB2312"/>
          <w:sz w:val="32"/>
          <w:szCs w:val="32"/>
        </w:rPr>
        <w:t>承担主体责任，接受有关部门的监督。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对于存在材料造假的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，一经发现一律取消奖励资格，收回奖励资金。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（二）省工信厅牵头负责政策兑现的组织实施，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履行财会监督责任。</w:t>
      </w:r>
      <w:r>
        <w:rPr>
          <w:rFonts w:eastAsia="仿宋_GB2312"/>
          <w:sz w:val="32"/>
          <w:szCs w:val="32"/>
          <w:highlight w:val="none"/>
        </w:rPr>
        <w:t>省财政厅负责统筹做好政策资金保障和分解下达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督促组织做好政策执行情况的财会监督</w:t>
      </w:r>
      <w:r>
        <w:rPr>
          <w:rFonts w:hint="eastAsia" w:eastAsia="仿宋_GB2312"/>
          <w:sz w:val="32"/>
          <w:szCs w:val="32"/>
          <w:highlight w:val="none"/>
        </w:rPr>
        <w:t>，</w:t>
      </w:r>
      <w:r>
        <w:rPr>
          <w:rFonts w:eastAsia="仿宋_GB2312"/>
          <w:sz w:val="32"/>
          <w:szCs w:val="32"/>
          <w:highlight w:val="none"/>
        </w:rPr>
        <w:t>对发现的问题及时纠偏。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市县财政部门应当及时拨付奖励资金。任何单位和个人不得以任何理由截留、挤占或挪用专项资金。</w:t>
      </w:r>
    </w:p>
    <w:p>
      <w:pPr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章 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绩效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管理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</w:t>
      </w:r>
      <w:r>
        <w:rPr>
          <w:rFonts w:hint="eastAsia" w:eastAsia="黑体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省财政厅负责督促指导省工信厅开展预算绩效管理工作。省工信厅负责全过程绩效管理，组织开展专项资金绩效目标管理、绩效运行监控、部门绩效评价等绩效管理工作。市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县工信部门按照省工信厅相关要求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负责对照绩效目标做好绩效评价工作，确保绩效目标如期实现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pStyle w:val="8"/>
        <w:ind w:firstLine="600" w:firstLineChars="200"/>
        <w:rPr>
          <w:rFonts w:hint="eastAsia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十三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 xml:space="preserve">  加强事前绩效目标管理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。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省工信厅根据政策目标和行业领域发展导向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，组织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设定可量化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可衡量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可定性并且符合行业特点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以及</w:t>
      </w:r>
      <w:r>
        <w:rPr>
          <w:rFonts w:ascii="Times New Roman" w:hAnsi="Times New Roman" w:eastAsia="仿宋_GB2312"/>
          <w:sz w:val="32"/>
          <w:szCs w:val="32"/>
          <w:highlight w:val="none"/>
          <w:shd w:val="clear" w:color="auto" w:fill="FFFFFF"/>
        </w:rPr>
        <w:t>具备产出效果的绩效目标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shd w:val="clear" w:color="auto" w:fill="FFFFFF"/>
        </w:rPr>
        <w:t>，作为绩效管理的必要性条件。</w:t>
      </w:r>
    </w:p>
    <w:p>
      <w:pPr>
        <w:ind w:firstLine="640" w:firstLineChars="200"/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加强事中绩效运行监控。省工信厅在政策实施过程中，组织开展绩效目标实现程度和预算执行进度“双监控”，对监控中发现政策导向偏离绩效目标及管理漏洞，及时纠正偏差。</w:t>
      </w:r>
    </w:p>
    <w:p>
      <w:pPr>
        <w:ind w:firstLine="640" w:firstLineChars="200"/>
        <w:rPr>
          <w:rFonts w:hint="eastAsia" w:ascii="仿宋_GB2312" w:hAnsi="微软雅黑" w:eastAsia="仿宋_GB2312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highlight w:val="none"/>
          <w:shd w:val="clear" w:color="auto" w:fill="FFFFFF"/>
        </w:rPr>
        <w:t>条</w:t>
      </w:r>
      <w:r>
        <w:rPr>
          <w:rFonts w:hint="eastAsia" w:ascii="Times New Roman" w:hAnsi="Times New Roman" w:eastAsia="黑体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 w:cs="黑体"/>
          <w:spacing w:val="-10"/>
          <w:kern w:val="28"/>
          <w:sz w:val="32"/>
          <w:szCs w:val="32"/>
          <w:highlight w:val="none"/>
          <w:shd w:val="clear" w:color="auto" w:fill="FFFFFF"/>
        </w:rPr>
        <w:t>加强事后绩效评价。省工信厅</w:t>
      </w:r>
      <w:r>
        <w:rPr>
          <w:rFonts w:ascii="Times New Roman" w:hAnsi="Times New Roman" w:eastAsia="仿宋_GB2312"/>
          <w:sz w:val="32"/>
          <w:szCs w:val="32"/>
          <w:highlight w:val="none"/>
        </w:rPr>
        <w:t>负责对照绩效目标做好事后绩效评价工作，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聚焦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注重投入产出效益，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对政策实施效果和资金使用情况开展“双评价”，提升绩效评价质量和实效。健全评价指标体系，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将包括但不限于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val="en-US" w:eastAsia="zh-CN"/>
        </w:rPr>
        <w:t>新增工信部试点示范数量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个性化指标作为产出效益评价重点。加强</w:t>
      </w:r>
      <w:r>
        <w:rPr>
          <w:rFonts w:ascii="Times New Roman" w:hAnsi="Times New Roman" w:eastAsia="仿宋_GB2312"/>
          <w:sz w:val="32"/>
          <w:szCs w:val="32"/>
          <w:highlight w:val="none"/>
        </w:rPr>
        <w:t>绩效评价结果应用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将评价结果作为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政策调整、预算安排和资金分配的重要依据，对于产出效益未达预期的，对政策延续实施的必要性开展评估，根据评估结果提出应用措施。</w:t>
      </w:r>
    </w:p>
    <w:p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章  附  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十六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 xml:space="preserve">条  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本细则由省工信厅、省财政厅按照职责分工分别负责解释。</w:t>
      </w:r>
    </w:p>
    <w:p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第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十七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条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本细则自印发之日起实施，</w:t>
      </w:r>
      <w:r>
        <w:rPr>
          <w:rFonts w:hint="eastAsia" w:ascii="Times New Roman" w:hAnsi="仿宋_GB2312" w:eastAsia="仿宋_GB2312"/>
          <w:sz w:val="32"/>
          <w:szCs w:val="32"/>
          <w:shd w:val="clear" w:color="auto" w:fill="FFFFFF"/>
          <w:lang w:eastAsia="zh-CN"/>
        </w:rPr>
        <w:t>有效期与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政策措施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》保持一致，</w:t>
      </w:r>
      <w:r>
        <w:rPr>
          <w:rFonts w:ascii="Times New Roman" w:hAnsi="仿宋_GB2312" w:eastAsia="仿宋_GB2312"/>
          <w:sz w:val="32"/>
          <w:szCs w:val="32"/>
          <w:shd w:val="clear" w:color="auto" w:fill="FFFFFF"/>
        </w:rPr>
        <w:t>期间如有变化，将按规定作出调整。</w:t>
      </w:r>
    </w:p>
    <w:sectPr>
      <w:footerReference r:id="rId3" w:type="default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E7163F-2EBA-43F0-A74F-7FD6D7A204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FB8871-F544-47FC-AB6A-10FF19B81E49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B58FD9-2CAA-4FAC-8EF2-4B613DB8A53E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9A7F97E-E86F-4F77-8693-CC072CEE4F83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7B47EFA-C95D-44F4-8AA0-C0DAE3CD014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7F8F0171-B04A-4433-AAFA-F231658E5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ZjgyMDRkZWZiNzhmMDE2NGQyNzBlODhhZTFlZjMifQ=="/>
  </w:docVars>
  <w:rsids>
    <w:rsidRoot w:val="00000000"/>
    <w:rsid w:val="0DF22954"/>
    <w:rsid w:val="0F493F55"/>
    <w:rsid w:val="14102404"/>
    <w:rsid w:val="297F9F5E"/>
    <w:rsid w:val="337FAB5D"/>
    <w:rsid w:val="35EFB717"/>
    <w:rsid w:val="3BBDC215"/>
    <w:rsid w:val="3BE16F0C"/>
    <w:rsid w:val="3CA12333"/>
    <w:rsid w:val="3F2E9895"/>
    <w:rsid w:val="3FE27C4C"/>
    <w:rsid w:val="3FF60525"/>
    <w:rsid w:val="415149C3"/>
    <w:rsid w:val="41957442"/>
    <w:rsid w:val="42762269"/>
    <w:rsid w:val="47FFB8A2"/>
    <w:rsid w:val="4F7D4CAC"/>
    <w:rsid w:val="4FEFDA61"/>
    <w:rsid w:val="4FFA2CC1"/>
    <w:rsid w:val="59EF23DA"/>
    <w:rsid w:val="5BEF7C93"/>
    <w:rsid w:val="5DB03C33"/>
    <w:rsid w:val="5DFD7063"/>
    <w:rsid w:val="5F22C49F"/>
    <w:rsid w:val="5FBACA93"/>
    <w:rsid w:val="5FF660A0"/>
    <w:rsid w:val="636FCD1E"/>
    <w:rsid w:val="63746A4D"/>
    <w:rsid w:val="637F3D23"/>
    <w:rsid w:val="67DF7299"/>
    <w:rsid w:val="67F97B43"/>
    <w:rsid w:val="67FFDC8A"/>
    <w:rsid w:val="69F79B96"/>
    <w:rsid w:val="6E799A5E"/>
    <w:rsid w:val="6F5BFEA6"/>
    <w:rsid w:val="6FFF62D0"/>
    <w:rsid w:val="6FFFBF7A"/>
    <w:rsid w:val="736B6005"/>
    <w:rsid w:val="75EDC82D"/>
    <w:rsid w:val="76AE5512"/>
    <w:rsid w:val="78DF5000"/>
    <w:rsid w:val="7B9F0C72"/>
    <w:rsid w:val="7BFFCD27"/>
    <w:rsid w:val="7C3D2D75"/>
    <w:rsid w:val="7CAFCD02"/>
    <w:rsid w:val="7D3AB1E4"/>
    <w:rsid w:val="7E3BB046"/>
    <w:rsid w:val="7EECD582"/>
    <w:rsid w:val="7EFBD364"/>
    <w:rsid w:val="7EFF7B15"/>
    <w:rsid w:val="7F037303"/>
    <w:rsid w:val="7F9632B1"/>
    <w:rsid w:val="7FCD2365"/>
    <w:rsid w:val="7FCFF9BE"/>
    <w:rsid w:val="7FDF173C"/>
    <w:rsid w:val="7FFDA612"/>
    <w:rsid w:val="7FFF08F5"/>
    <w:rsid w:val="8DEFCDB4"/>
    <w:rsid w:val="AEF7C7CA"/>
    <w:rsid w:val="B9E511AF"/>
    <w:rsid w:val="BB55741F"/>
    <w:rsid w:val="BBFF26D4"/>
    <w:rsid w:val="BDB52D3B"/>
    <w:rsid w:val="BE7E4026"/>
    <w:rsid w:val="BFBBEEFE"/>
    <w:rsid w:val="C7FBE67D"/>
    <w:rsid w:val="CAFF6D39"/>
    <w:rsid w:val="CBBAAC2D"/>
    <w:rsid w:val="CBBB2967"/>
    <w:rsid w:val="CFA7ABCA"/>
    <w:rsid w:val="DB3D755B"/>
    <w:rsid w:val="DCEDF056"/>
    <w:rsid w:val="DE8F46A6"/>
    <w:rsid w:val="DEFFC49C"/>
    <w:rsid w:val="DF8FB2AB"/>
    <w:rsid w:val="DFBF59DF"/>
    <w:rsid w:val="DFF7F39C"/>
    <w:rsid w:val="DFFF41C0"/>
    <w:rsid w:val="E8F3EC18"/>
    <w:rsid w:val="EDEF71B3"/>
    <w:rsid w:val="F6DF856F"/>
    <w:rsid w:val="F7EF79BE"/>
    <w:rsid w:val="F9775306"/>
    <w:rsid w:val="F9FD4716"/>
    <w:rsid w:val="F9FF1C51"/>
    <w:rsid w:val="F9FF2905"/>
    <w:rsid w:val="FD9F7EA6"/>
    <w:rsid w:val="FDD9DAF2"/>
    <w:rsid w:val="FDE7E532"/>
    <w:rsid w:val="FE3FDF53"/>
    <w:rsid w:val="FEB9F63A"/>
    <w:rsid w:val="FEF5D6F1"/>
    <w:rsid w:val="FEF7F4B0"/>
    <w:rsid w:val="FEFE6BEF"/>
    <w:rsid w:val="FF3FE0CF"/>
    <w:rsid w:val="FFC73CAF"/>
    <w:rsid w:val="FFDDE857"/>
    <w:rsid w:val="FFE78F33"/>
    <w:rsid w:val="FFE9EFED"/>
    <w:rsid w:val="FFEF1D92"/>
    <w:rsid w:val="FFF74852"/>
    <w:rsid w:val="FFFF6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uiPriority w:val="0"/>
  </w:style>
  <w:style w:type="paragraph" w:styleId="8">
    <w:name w:val="Title"/>
    <w:basedOn w:val="1"/>
    <w:next w:val="1"/>
    <w:qFormat/>
    <w:uiPriority w:val="0"/>
    <w:pPr>
      <w:contextualSpacing/>
    </w:pPr>
    <w:rPr>
      <w:rFonts w:ascii="宋体" w:hAnsi="Calibri Light" w:eastAsia="宋体" w:cs="黑体"/>
      <w:spacing w:val="-10"/>
      <w:kern w:val="28"/>
      <w:sz w:val="56"/>
      <w:szCs w:val="56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4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5">
    <w:name w:val="Normal (Web)"/>
    <w:basedOn w:val="1"/>
    <w:qFormat/>
    <w:uiPriority w:val="0"/>
    <w:rPr>
      <w:sz w:val="24"/>
    </w:rPr>
  </w:style>
  <w:style w:type="paragraph" w:customStyle="1" w:styleId="1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1456</Words>
  <Characters>1463</Characters>
  <TotalTime>0</TotalTime>
  <ScaleCrop>false</ScaleCrop>
  <LinksUpToDate>false</LinksUpToDate>
  <CharactersWithSpaces>1514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2018-12-08T01:47:00Z</dcterms:created>
  <dc:creator>greatwall</dc:creator>
  <cp:lastModifiedBy>筱晗</cp:lastModifiedBy>
  <cp:lastPrinted>2024-06-19T11:04:16Z</cp:lastPrinted>
  <dcterms:modified xsi:type="dcterms:W3CDTF">2024-06-19T06:36:59Z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3EC7472060774B8EB0F294AEB50F2ED9_13</vt:lpwstr>
  </property>
</Properties>
</file>