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"/>
        </w:rPr>
        <w:t>黑龙江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工信部工业互联网省级补助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  <w:t>奖励政策实施细则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（征求意见稿）</w:t>
      </w:r>
      <w:bookmarkEnd w:id="0"/>
    </w:p>
    <w:p>
      <w:pPr>
        <w:pStyle w:val="15"/>
        <w:widowControl/>
        <w:jc w:val="center"/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15"/>
        <w:widowControl/>
        <w:jc w:val="center"/>
        <w:rPr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 xml:space="preserve">第一章 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总  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第一条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为加快推动全省工业互联网领域项目做大做强，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加强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形成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示范引领，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依据</w:t>
      </w:r>
      <w:r>
        <w:rPr>
          <w:rFonts w:hint="default" w:ascii="Times New Roman" w:hAnsi="Times New Roman" w:eastAsia="仿宋_GB2312"/>
          <w:sz w:val="32"/>
          <w:highlight w:val="none"/>
          <w:lang w:val="en-US" w:eastAsia="zh-CN"/>
        </w:rPr>
        <w:t>《推动“数字龙江”建设加快数字经济高质量发展若干政策措施》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（黑政规〔202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号）</w:t>
      </w:r>
      <w:r>
        <w:rPr>
          <w:rFonts w:hint="default" w:ascii="Times New Roman" w:hAnsi="Times New Roman" w:eastAsia="仿宋_GB2312"/>
          <w:sz w:val="32"/>
          <w:highlight w:val="none"/>
          <w:lang w:val="en-US" w:eastAsia="zh-CN"/>
        </w:rPr>
        <w:t>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制定本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细则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第二条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对获得工信部工业互联网领域专项资金支持项目的牵头单位，按照中央支持额度的20%省级财政给予补助，最高不超过100万元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第三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 xml:space="preserve">条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凡</w:t>
      </w:r>
      <w:r>
        <w:rPr>
          <w:rFonts w:ascii="Times New Roman" w:hAnsi="Times New Roman" w:eastAsia="仿宋_GB2312"/>
          <w:sz w:val="32"/>
          <w:szCs w:val="32"/>
          <w:lang w:bidi="ar"/>
        </w:rPr>
        <w:t>符合</w:t>
      </w: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政策规定且无严重违法失信行为的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，一律公平、公正、公开地享受政策支持。</w:t>
      </w:r>
    </w:p>
    <w:p>
      <w:pPr>
        <w:jc w:val="center"/>
        <w:rPr>
          <w:rFonts w:hint="eastAsia" w:ascii="Times New Roman" w:hAnsi="Times New Roman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章  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奖励条件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第四条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牵头单位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应符合以下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条件：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（一）在黑龙江省行政区域内依法登记注册。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（二）具有独立法人资格。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（三）不属于失信被执行人，且未被列入经营异常</w:t>
      </w:r>
      <w:r>
        <w:rPr>
          <w:rFonts w:hint="eastAsia" w:ascii="Times New Roman" w:hAnsi="仿宋_GB2312" w:eastAsia="仿宋_GB2312"/>
          <w:sz w:val="32"/>
          <w:szCs w:val="32"/>
          <w:shd w:val="clear" w:color="auto" w:fill="FFFFFF"/>
          <w:lang w:eastAsia="zh-CN"/>
        </w:rPr>
        <w:t>名录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财务管理和会计核算制度健全，管理规范、核算准确，无违法违规记录。</w:t>
      </w:r>
    </w:p>
    <w:p>
      <w:pPr>
        <w:jc w:val="center"/>
        <w:rPr>
          <w:rFonts w:hint="default" w:ascii="Times New Roman" w:hAnsi="Times New Roman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三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章  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兑现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方式和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val="en-US" w:eastAsia="zh-CN"/>
        </w:rPr>
        <w:t>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第五条  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为减轻企业申报负担，采用“免申即享”方式组织兑现。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第六条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按照中央支持额度的20%省级财政给予补助，最高不超过100万元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jc w:val="center"/>
        <w:rPr>
          <w:rFonts w:hint="default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 xml:space="preserve">章 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兑现程序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七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确定名单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省工信厅依据入选工信部工业互联网领域项目情况，对牵头单位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信用情况等综合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评定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提出拟奖励名单。</w:t>
      </w:r>
    </w:p>
    <w:p>
      <w:pPr>
        <w:pStyle w:val="2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第八条  </w:t>
      </w: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名单公示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拟奖励名单通过省工信厅网站向社会公示，公示期为5个工作日。公示期间有异议的，及时核实处理。</w:t>
      </w:r>
    </w:p>
    <w:p>
      <w:pPr>
        <w:pStyle w:val="2"/>
        <w:ind w:firstLine="64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第九条  </w:t>
      </w:r>
      <w:r>
        <w:rPr>
          <w:rFonts w:hint="eastAsia" w:ascii="楷体_GB2312" w:hAnsi="楷体_GB2312" w:eastAsia="楷体_GB2312" w:cs="楷体_GB2312"/>
          <w:b/>
          <w:bCs/>
          <w:sz w:val="32"/>
        </w:rPr>
        <w:t>请示</w:t>
      </w:r>
      <w:r>
        <w:rPr>
          <w:rFonts w:hint="eastAsia" w:ascii="楷体_GB2312" w:hAnsi="楷体_GB2312" w:eastAsia="楷体_GB2312" w:cs="楷体_GB2312"/>
          <w:b/>
          <w:bCs/>
          <w:sz w:val="32"/>
          <w:lang w:eastAsia="zh-CN"/>
        </w:rPr>
        <w:t>报批</w:t>
      </w:r>
      <w:r>
        <w:rPr>
          <w:rFonts w:hint="eastAsia" w:ascii="楷体_GB2312" w:hAnsi="楷体_GB2312" w:eastAsia="楷体_GB2312" w:cs="楷体_GB2312"/>
          <w:b/>
          <w:bCs/>
          <w:sz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公示期满无异议后，提请省工信厅党组会议审议。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审议通过后，省工信厅会同省财政厅履行报省政府审批程序。</w:t>
      </w:r>
    </w:p>
    <w:p>
      <w:pPr>
        <w:pStyle w:val="17"/>
        <w:ind w:firstLine="640" w:firstLineChars="200"/>
        <w:rPr>
          <w:rFonts w:eastAsia="仿宋_GB2312"/>
          <w:kern w:val="21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</w:t>
      </w:r>
      <w:r>
        <w:rPr>
          <w:rFonts w:hint="eastAsia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十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条</w:t>
      </w:r>
      <w:r>
        <w:rPr>
          <w:rFonts w:hint="eastAsia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</w:rPr>
        <w:t>拨付</w:t>
      </w:r>
      <w:r>
        <w:rPr>
          <w:rFonts w:hint="eastAsia" w:ascii="楷体_GB2312" w:hAnsi="楷体_GB2312" w:eastAsia="楷体_GB2312" w:cs="楷体_GB2312"/>
          <w:b/>
          <w:bCs/>
          <w:sz w:val="32"/>
          <w:lang w:eastAsia="zh-CN"/>
        </w:rPr>
        <w:t>奖励</w:t>
      </w:r>
      <w:r>
        <w:rPr>
          <w:rFonts w:hint="eastAsia" w:ascii="楷体_GB2312" w:hAnsi="楷体_GB2312" w:eastAsia="楷体_GB2312" w:cs="楷体_GB2312"/>
          <w:b/>
          <w:bCs/>
          <w:sz w:val="32"/>
        </w:rPr>
        <w:t>资金</w:t>
      </w:r>
      <w:r>
        <w:rPr>
          <w:rFonts w:hint="eastAsia" w:eastAsia="仿宋_GB2312"/>
          <w:b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eastAsia="仿宋_GB2312"/>
          <w:kern w:val="21"/>
          <w:sz w:val="32"/>
          <w:szCs w:val="32"/>
        </w:rPr>
        <w:t>经</w:t>
      </w:r>
      <w:r>
        <w:rPr>
          <w:rFonts w:eastAsia="仿宋_GB2312"/>
          <w:kern w:val="21"/>
          <w:sz w:val="32"/>
          <w:szCs w:val="32"/>
        </w:rPr>
        <w:t>省政府批准后，由</w:t>
      </w:r>
      <w:r>
        <w:rPr>
          <w:rFonts w:hint="eastAsia" w:eastAsia="仿宋_GB2312"/>
          <w:kern w:val="0"/>
          <w:sz w:val="32"/>
          <w:szCs w:val="32"/>
        </w:rPr>
        <w:t>省财政厅按照规定程序拨付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奖励</w:t>
      </w:r>
      <w:r>
        <w:rPr>
          <w:rFonts w:hint="eastAsia" w:eastAsia="仿宋_GB2312"/>
          <w:kern w:val="0"/>
          <w:sz w:val="32"/>
          <w:szCs w:val="32"/>
        </w:rPr>
        <w:t>资金</w:t>
      </w:r>
      <w:r>
        <w:rPr>
          <w:rFonts w:eastAsia="仿宋_GB2312"/>
          <w:kern w:val="21"/>
          <w:sz w:val="32"/>
          <w:szCs w:val="32"/>
        </w:rPr>
        <w:t>。各市县财政部门会同同级</w:t>
      </w:r>
      <w:r>
        <w:rPr>
          <w:rFonts w:hint="eastAsia" w:eastAsia="仿宋_GB2312"/>
          <w:kern w:val="21"/>
          <w:sz w:val="32"/>
          <w:szCs w:val="32"/>
        </w:rPr>
        <w:t>工信</w:t>
      </w:r>
      <w:r>
        <w:rPr>
          <w:rFonts w:eastAsia="仿宋_GB2312"/>
          <w:kern w:val="21"/>
          <w:sz w:val="32"/>
          <w:szCs w:val="32"/>
        </w:rPr>
        <w:t>部门按规定时限和要求拨付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奖励</w:t>
      </w:r>
      <w:r>
        <w:rPr>
          <w:rFonts w:eastAsia="仿宋_GB2312"/>
          <w:kern w:val="21"/>
          <w:sz w:val="32"/>
          <w:szCs w:val="32"/>
        </w:rPr>
        <w:t>资金。</w:t>
      </w:r>
    </w:p>
    <w:p>
      <w:pPr>
        <w:jc w:val="center"/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章  监督管理</w:t>
      </w:r>
    </w:p>
    <w:p>
      <w:pPr>
        <w:pStyle w:val="1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  <w:shd w:val="clear" w:color="auto" w:fill="FFFFFF"/>
        </w:rPr>
        <w:t>第</w:t>
      </w:r>
      <w:r>
        <w:rPr>
          <w:rFonts w:hint="eastAsia" w:eastAsia="黑体"/>
          <w:sz w:val="32"/>
          <w:szCs w:val="32"/>
          <w:shd w:val="clear" w:color="auto" w:fill="FFFFFF"/>
          <w:lang w:eastAsia="zh-CN"/>
        </w:rPr>
        <w:t>十一</w:t>
      </w:r>
      <w:r>
        <w:rPr>
          <w:rFonts w:eastAsia="黑体"/>
          <w:sz w:val="32"/>
          <w:szCs w:val="32"/>
          <w:shd w:val="clear" w:color="auto" w:fill="FFFFFF"/>
        </w:rPr>
        <w:t>条</w:t>
      </w:r>
      <w:r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牵头单位</w:t>
      </w:r>
      <w:r>
        <w:rPr>
          <w:rFonts w:eastAsia="仿宋_GB2312"/>
          <w:sz w:val="32"/>
          <w:szCs w:val="32"/>
        </w:rPr>
        <w:t>、省级主管部门等分别履行以下职责：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牵头单位</w:t>
      </w:r>
      <w:r>
        <w:rPr>
          <w:rFonts w:ascii="Times New Roman" w:hAnsi="Times New Roman" w:eastAsia="仿宋_GB2312"/>
          <w:sz w:val="32"/>
          <w:szCs w:val="32"/>
        </w:rPr>
        <w:t>应对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入选项目建设进度、完成时限等情况</w:t>
      </w:r>
      <w:r>
        <w:rPr>
          <w:rFonts w:ascii="Times New Roman" w:hAnsi="Times New Roman" w:eastAsia="仿宋_GB2312"/>
          <w:sz w:val="32"/>
          <w:szCs w:val="32"/>
        </w:rPr>
        <w:t>承担主体责任，接受有关部门的监督。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对于存在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未通过验收的项目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，收回奖励资金。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（二）省工信厅牵头负责政策兑现的组织实施，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履行财会监督责任。</w:t>
      </w:r>
      <w:r>
        <w:rPr>
          <w:rFonts w:eastAsia="仿宋_GB2312"/>
          <w:sz w:val="32"/>
          <w:szCs w:val="32"/>
          <w:highlight w:val="none"/>
        </w:rPr>
        <w:t>省财政厅负责统筹做好政策资金保障和分解下达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督促组织做好政策执行情况的财会监督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对发现的问题及时纠偏。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市县财政部门应当及时拨付奖励资金。任何单位和个人不得以任何理由截留、挤占或挪用专项资金。</w:t>
      </w:r>
    </w:p>
    <w:p>
      <w:pPr>
        <w:jc w:val="center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章 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绩效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管理</w:t>
      </w:r>
    </w:p>
    <w:p>
      <w:pPr>
        <w:ind w:firstLine="640" w:firstLineChars="200"/>
        <w:rPr>
          <w:rFonts w:hint="eastAsia" w:ascii="仿宋_GB2312" w:hAnsi="微软雅黑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十</w:t>
      </w:r>
      <w:r>
        <w:rPr>
          <w:rFonts w:hint="eastAsia" w:eastAsia="黑体"/>
          <w:sz w:val="32"/>
          <w:szCs w:val="32"/>
          <w:shd w:val="clear" w:color="auto" w:fill="FFFFFF"/>
          <w:lang w:eastAsia="zh-CN"/>
        </w:rPr>
        <w:t>二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省财政厅负责督促指导省工信厅开展预算绩效管理工作。省工信厅负责全过程绩效管理，组织开展专项资金绩效目标管理、绩效运行监控、部门绩效评价等绩效管理工作。市</w:t>
      </w:r>
      <w:r>
        <w:rPr>
          <w:rFonts w:ascii="Times New Roman" w:hAnsi="Times New Roman" w:eastAsia="仿宋_GB2312"/>
          <w:sz w:val="32"/>
          <w:szCs w:val="32"/>
          <w:highlight w:val="none"/>
        </w:rPr>
        <w:t>县工信部门按照省工信厅相关要求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负责对照绩效目标做好绩效评价工作，确保绩效目标如期实现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pStyle w:val="8"/>
        <w:ind w:firstLine="600" w:firstLineChars="200"/>
        <w:rPr>
          <w:rFonts w:hint="eastAsia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十三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 xml:space="preserve">  加强事前绩效目标管理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。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省工信厅根据政策目标和行业领域发展导向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，组织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设定可量化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可衡量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可定性并且符合行业特点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以及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具备产出效果的绩效目标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，作为绩效管理的必要性条件。</w:t>
      </w:r>
    </w:p>
    <w:p>
      <w:pPr>
        <w:ind w:firstLine="640" w:firstLineChars="200"/>
        <w:rPr>
          <w:rFonts w:hint="eastAsia" w:ascii="Times New Roman" w:hAnsi="Times New Roman" w:eastAsia="仿宋_GB2312" w:cs="黑体"/>
          <w:spacing w:val="-10"/>
          <w:kern w:val="28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黑体"/>
          <w:spacing w:val="-10"/>
          <w:kern w:val="28"/>
          <w:sz w:val="32"/>
          <w:szCs w:val="32"/>
          <w:highlight w:val="none"/>
          <w:shd w:val="clear" w:color="auto" w:fill="FFFFFF"/>
        </w:rPr>
        <w:t>加强事中绩效运行监控。省工信厅在政策实施过程中，组织开展绩效目标实现程度和预算执行进度“双监控”，对监控中发现政策导向偏离绩效目标及管理漏洞，及时纠正偏差。</w:t>
      </w:r>
    </w:p>
    <w:p>
      <w:pPr>
        <w:ind w:firstLine="640" w:firstLineChars="200"/>
        <w:rPr>
          <w:rFonts w:hint="eastAsia" w:ascii="仿宋_GB2312" w:hAnsi="微软雅黑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黑体"/>
          <w:spacing w:val="-10"/>
          <w:kern w:val="28"/>
          <w:sz w:val="32"/>
          <w:szCs w:val="32"/>
          <w:highlight w:val="none"/>
          <w:shd w:val="clear" w:color="auto" w:fill="FFFFFF"/>
        </w:rPr>
        <w:t>加强事后绩效评价。省工信厅</w:t>
      </w:r>
      <w:r>
        <w:rPr>
          <w:rFonts w:ascii="Times New Roman" w:hAnsi="Times New Roman" w:eastAsia="仿宋_GB2312"/>
          <w:sz w:val="32"/>
          <w:szCs w:val="32"/>
          <w:highlight w:val="none"/>
        </w:rPr>
        <w:t>负责对照绩效目标做好事后绩效评价工作，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聚焦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注重投入产出效益，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对政策实施效果和资金使用情况开展“双评价”，提升绩效评价质量和实效。健全评价指标体系，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将包括但不限于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获得工信部工业互联网领域专项资金支持项目数量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个性化指标作为产出效益评价重点。加强</w:t>
      </w:r>
      <w:r>
        <w:rPr>
          <w:rFonts w:ascii="Times New Roman" w:hAnsi="Times New Roman" w:eastAsia="仿宋_GB2312"/>
          <w:sz w:val="32"/>
          <w:szCs w:val="32"/>
          <w:highlight w:val="none"/>
        </w:rPr>
        <w:t>绩效评价结果应用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将评价结果作为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政策调整、预算安排和资金分配的重要依据，对于产出效益未达预期的，对政策延续实施的必要性开展评估，根据评估结果提出应用措施。</w:t>
      </w:r>
    </w:p>
    <w:p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七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章  附  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十六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条 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本细则由省工信厅、省财政厅按照职责分工分别负责解释。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十七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本细则自印发之日起实施，</w:t>
      </w:r>
      <w:r>
        <w:rPr>
          <w:rFonts w:hint="eastAsia" w:ascii="Times New Roman" w:hAnsi="仿宋_GB2312" w:eastAsia="仿宋_GB2312"/>
          <w:sz w:val="32"/>
          <w:szCs w:val="32"/>
          <w:shd w:val="clear" w:color="auto" w:fill="FFFFFF"/>
          <w:lang w:eastAsia="zh-CN"/>
        </w:rPr>
        <w:t>有效期与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政策措施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》保持一致，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期间如有变化，将按规定作出调整。</w:t>
      </w:r>
    </w:p>
    <w:sectPr>
      <w:footerReference r:id="rId3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43E496-43A1-44D3-A2FE-7001DDBB33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35AC21-C0F7-4ABA-AA31-BFD287D2B7EE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41335C6-8690-408A-A215-0502ED7DAC0E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32A4A17-AE67-4485-BD2F-0F7270E22086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4B00D35-4340-486D-92F0-9B3DC3AA8F2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497D13CD-1348-4FE8-A365-C60F8AEC2E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ZjgyMDRkZWZiNzhmMDE2NGQyNzBlODhhZTFlZjMifQ=="/>
  </w:docVars>
  <w:rsids>
    <w:rsidRoot w:val="00000000"/>
    <w:rsid w:val="0DF22954"/>
    <w:rsid w:val="0F493F55"/>
    <w:rsid w:val="14102404"/>
    <w:rsid w:val="297F9F5E"/>
    <w:rsid w:val="337FAB5D"/>
    <w:rsid w:val="35EFB717"/>
    <w:rsid w:val="3BBDC215"/>
    <w:rsid w:val="3BE16F0C"/>
    <w:rsid w:val="3F2E9895"/>
    <w:rsid w:val="3FE27C4C"/>
    <w:rsid w:val="3FF60525"/>
    <w:rsid w:val="41957442"/>
    <w:rsid w:val="42762269"/>
    <w:rsid w:val="42F53AB3"/>
    <w:rsid w:val="47FFB8A2"/>
    <w:rsid w:val="4F7D4CAC"/>
    <w:rsid w:val="59EF23DA"/>
    <w:rsid w:val="5BEF7C93"/>
    <w:rsid w:val="5DB03C33"/>
    <w:rsid w:val="5DFD7063"/>
    <w:rsid w:val="5F22C49F"/>
    <w:rsid w:val="5FBACA93"/>
    <w:rsid w:val="5FF660A0"/>
    <w:rsid w:val="636FCD1E"/>
    <w:rsid w:val="63746A4D"/>
    <w:rsid w:val="67DF7299"/>
    <w:rsid w:val="67FFDC8A"/>
    <w:rsid w:val="69F79B96"/>
    <w:rsid w:val="6E799A5E"/>
    <w:rsid w:val="6FFF62D0"/>
    <w:rsid w:val="6FFFBF7A"/>
    <w:rsid w:val="736B6005"/>
    <w:rsid w:val="75EDC82D"/>
    <w:rsid w:val="76AE5512"/>
    <w:rsid w:val="78DF5000"/>
    <w:rsid w:val="797F6FD0"/>
    <w:rsid w:val="7B9F0C72"/>
    <w:rsid w:val="7BFFCD27"/>
    <w:rsid w:val="7C3D2D75"/>
    <w:rsid w:val="7CAFCD02"/>
    <w:rsid w:val="7D3AB1E4"/>
    <w:rsid w:val="7D3B4F81"/>
    <w:rsid w:val="7E3BB046"/>
    <w:rsid w:val="7EECD582"/>
    <w:rsid w:val="7EFBD364"/>
    <w:rsid w:val="7EFF7B15"/>
    <w:rsid w:val="7F037303"/>
    <w:rsid w:val="7F9632B1"/>
    <w:rsid w:val="7FCD2365"/>
    <w:rsid w:val="7FCFF9BE"/>
    <w:rsid w:val="7FDF173C"/>
    <w:rsid w:val="7FFDA612"/>
    <w:rsid w:val="7FFF08F5"/>
    <w:rsid w:val="8DEFCDB4"/>
    <w:rsid w:val="94CF7FF2"/>
    <w:rsid w:val="AEF7C7CA"/>
    <w:rsid w:val="AF500700"/>
    <w:rsid w:val="B2BF819C"/>
    <w:rsid w:val="B9E511AF"/>
    <w:rsid w:val="BB55741F"/>
    <w:rsid w:val="BBFF26D4"/>
    <w:rsid w:val="BDB52D3B"/>
    <w:rsid w:val="BE7E4026"/>
    <w:rsid w:val="BFBBEEFE"/>
    <w:rsid w:val="C7FBE67D"/>
    <w:rsid w:val="CAFF6D39"/>
    <w:rsid w:val="CBBAAC2D"/>
    <w:rsid w:val="CBBB2967"/>
    <w:rsid w:val="CFA7ABCA"/>
    <w:rsid w:val="DB3D755B"/>
    <w:rsid w:val="DCEDF056"/>
    <w:rsid w:val="DD07C538"/>
    <w:rsid w:val="DE8F46A6"/>
    <w:rsid w:val="DEFFC49C"/>
    <w:rsid w:val="DF8FB2AB"/>
    <w:rsid w:val="DFBF59DF"/>
    <w:rsid w:val="DFCA388F"/>
    <w:rsid w:val="DFF7F39C"/>
    <w:rsid w:val="DFFF41C0"/>
    <w:rsid w:val="E48ED6ED"/>
    <w:rsid w:val="E8F3EC18"/>
    <w:rsid w:val="EDEF71B3"/>
    <w:rsid w:val="F7EF79BE"/>
    <w:rsid w:val="F7F675FE"/>
    <w:rsid w:val="F9775306"/>
    <w:rsid w:val="F9FD4716"/>
    <w:rsid w:val="F9FF1C51"/>
    <w:rsid w:val="F9FF2905"/>
    <w:rsid w:val="FD9F7EA6"/>
    <w:rsid w:val="FDD9DAF2"/>
    <w:rsid w:val="FDE7E532"/>
    <w:rsid w:val="FE3FDF53"/>
    <w:rsid w:val="FEB9F63A"/>
    <w:rsid w:val="FEF5D6F1"/>
    <w:rsid w:val="FEF7F4B0"/>
    <w:rsid w:val="FEFE6BEF"/>
    <w:rsid w:val="FF3FE0CF"/>
    <w:rsid w:val="FFBBE461"/>
    <w:rsid w:val="FFC73CAF"/>
    <w:rsid w:val="FFDDE857"/>
    <w:rsid w:val="FFE78F33"/>
    <w:rsid w:val="FFE9EFED"/>
    <w:rsid w:val="FFEF1D92"/>
    <w:rsid w:val="FFF74852"/>
    <w:rsid w:val="FFFF6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uiPriority w:val="0"/>
  </w:style>
  <w:style w:type="paragraph" w:styleId="8">
    <w:name w:val="Title"/>
    <w:basedOn w:val="1"/>
    <w:next w:val="1"/>
    <w:qFormat/>
    <w:uiPriority w:val="0"/>
    <w:pPr>
      <w:contextualSpacing/>
    </w:pPr>
    <w:rPr>
      <w:rFonts w:ascii="宋体" w:hAnsi="Calibri Light" w:eastAsia="宋体" w:cs="黑体"/>
      <w:spacing w:val="-10"/>
      <w:kern w:val="28"/>
      <w:sz w:val="56"/>
      <w:szCs w:val="56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默认段落字体1"/>
    <w:uiPriority w:val="0"/>
  </w:style>
  <w:style w:type="paragraph" w:customStyle="1" w:styleId="13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5">
    <w:name w:val="Normal (Web)"/>
    <w:basedOn w:val="1"/>
    <w:qFormat/>
    <w:uiPriority w:val="0"/>
    <w:rPr>
      <w:sz w:val="24"/>
    </w:rPr>
  </w:style>
  <w:style w:type="paragraph" w:customStyle="1" w:styleId="16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1454</Words>
  <Characters>1466</Characters>
  <TotalTime>8</TotalTime>
  <ScaleCrop>false</ScaleCrop>
  <LinksUpToDate>false</LinksUpToDate>
  <CharactersWithSpaces>1517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2018-12-08T17:47:00Z</dcterms:created>
  <dc:creator>greatwall</dc:creator>
  <cp:lastModifiedBy>筱晗</cp:lastModifiedBy>
  <cp:lastPrinted>2023-11-09T22:33:06Z</cp:lastPrinted>
  <dcterms:modified xsi:type="dcterms:W3CDTF">2024-06-19T06:36:30Z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E45540F747FB444098E2B6360646D2D0_13</vt:lpwstr>
  </property>
</Properties>
</file>