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left"/>
        <w:textAlignment w:val="auto"/>
        <w:rPr>
          <w:rFonts w:hint="default" w:ascii="Times New Roman" w:hAnsi="Times New Roman" w:eastAsia="黑体"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黑龙江省重点数字产品建设项目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0"/>
        <w:rPr>
          <w:rFonts w:hint="default" w:ascii="Times New Roman" w:hAnsi="Times New Roman" w:eastAsia="华文中宋" w:cs="Times New Roman"/>
          <w:color w:val="auto"/>
          <w:sz w:val="44"/>
          <w:szCs w:val="44"/>
        </w:rPr>
      </w:pPr>
      <w:r>
        <w:rPr>
          <w:rFonts w:hint="default" w:ascii="Times New Roman" w:hAnsi="Times New Roman" w:eastAsia="方正小标宋简体" w:cs="Times New Roman"/>
          <w:color w:val="auto"/>
          <w:sz w:val="44"/>
          <w:szCs w:val="44"/>
        </w:rPr>
        <w:t>补助政策实施细则</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pStyle w:val="2"/>
        <w:keepNext w:val="0"/>
        <w:keepLines w:val="0"/>
        <w:pageBreakBefore w:val="0"/>
        <w:kinsoku/>
        <w:wordWrap/>
        <w:overflowPunct/>
        <w:topLinePunct w:val="0"/>
        <w:autoSpaceDE/>
        <w:autoSpaceDN/>
        <w:bidi w:val="0"/>
        <w:adjustRightInd/>
        <w:spacing w:line="240" w:lineRule="auto"/>
        <w:textAlignment w:val="auto"/>
        <w:rPr>
          <w:rFonts w:hint="default"/>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第一章</w:t>
      </w:r>
      <w:r>
        <w:rPr>
          <w:rFonts w:hint="default" w:ascii="Times New Roman" w:hAnsi="Times New Roman" w:eastAsia="黑体" w:cs="Times New Roman"/>
          <w:color w:val="auto"/>
          <w:sz w:val="32"/>
          <w:szCs w:val="32"/>
          <w:lang w:val="en-US" w:eastAsia="zh-CN"/>
        </w:rPr>
        <w:t xml:space="preserve"> 总</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rPr>
        <w:t>第一条</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color w:val="auto"/>
          <w:sz w:val="32"/>
          <w:szCs w:val="32"/>
          <w:u w:val="none"/>
          <w:lang w:val="en-US" w:eastAsia="zh-CN"/>
        </w:rPr>
        <w:t>为</w:t>
      </w:r>
      <w:r>
        <w:rPr>
          <w:rFonts w:hint="eastAsia" w:ascii="Times New Roman" w:hAnsi="Times New Roman" w:eastAsia="仿宋_GB2312" w:cs="Times New Roman"/>
          <w:color w:val="auto"/>
          <w:sz w:val="32"/>
          <w:szCs w:val="32"/>
          <w:u w:val="none"/>
          <w:lang w:val="en-US" w:eastAsia="zh-CN"/>
        </w:rPr>
        <w:t>贯彻落实省委省政府关于发展数字经济的决策部署，</w:t>
      </w:r>
      <w:r>
        <w:rPr>
          <w:rFonts w:hint="default" w:ascii="Times New Roman" w:hAnsi="Times New Roman" w:eastAsia="仿宋_GB2312" w:cs="Times New Roman"/>
          <w:color w:val="auto"/>
          <w:sz w:val="32"/>
          <w:szCs w:val="32"/>
          <w:u w:val="none"/>
          <w:lang w:val="en-US" w:eastAsia="zh-CN"/>
        </w:rPr>
        <w:t>加快发展壮大数字产品制造业，依据《黑龙江省人民政府关于印发推动“数字龙江”建设加快数字经济高质量发展若干政策措施的通知》（黑政规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lang w:val="en-US" w:eastAsia="zh-CN"/>
        </w:rPr>
        <w:t>2021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lang w:val="en-US" w:eastAsia="zh-CN"/>
        </w:rPr>
        <w:t>14号），制定本细则。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eastAsia="zh-CN"/>
        </w:rPr>
        <w:t>第二条</w:t>
      </w:r>
      <w:r>
        <w:rPr>
          <w:rFonts w:hint="eastAsia" w:ascii="Times New Roman" w:hAnsi="Times New Roman" w:eastAsia="仿宋_GB2312" w:cs="Times New Roman"/>
          <w:b/>
          <w:bCs/>
          <w:color w:val="auto"/>
          <w:sz w:val="32"/>
          <w:szCs w:val="32"/>
          <w:highlight w:val="none"/>
          <w:lang w:val="en-US" w:eastAsia="zh-CN"/>
        </w:rPr>
        <w:t xml:space="preserve"> </w:t>
      </w:r>
      <w:r>
        <w:rPr>
          <w:rFonts w:hint="eastAsia" w:ascii="Times New Roman" w:hAnsi="Times New Roman" w:eastAsia="仿宋_GB2312" w:cs="Times New Roman"/>
          <w:b w:val="0"/>
          <w:bCs w:val="0"/>
          <w:color w:val="auto"/>
          <w:sz w:val="32"/>
          <w:szCs w:val="32"/>
          <w:highlight w:val="none"/>
          <w:lang w:val="en-US" w:eastAsia="zh-CN"/>
        </w:rPr>
        <w:t>省重点数字产品建设项目是由省工信厅按照《黑龙江省重点数字产品指导目录》开展认定，重点支持和积极培育在我省有产业基础和技术支撑、可有效推动我省产业融合发展，符合国家产业政策导向、市场需求旺盛、处于技术前沿的产品。</w:t>
      </w:r>
    </w:p>
    <w:p>
      <w:pPr>
        <w:keepNext w:val="0"/>
        <w:keepLines w:val="0"/>
        <w:pageBreakBefore w:val="0"/>
        <w:kinsoku/>
        <w:wordWrap/>
        <w:overflowPunct/>
        <w:topLinePunct w:val="0"/>
        <w:autoSpaceDE/>
        <w:autoSpaceDN/>
        <w:bidi w:val="0"/>
        <w:adjustRightInd/>
        <w:spacing w:line="240" w:lineRule="auto"/>
        <w:ind w:firstLine="642" w:firstLineChars="200"/>
        <w:textAlignment w:val="auto"/>
        <w:rPr>
          <w:rFonts w:hint="default" w:ascii="Times New Roman" w:hAnsi="Times New Roman" w:eastAsia="仿宋_GB2312" w:cs="Times New Roman"/>
          <w:color w:val="auto"/>
          <w:spacing w:val="-10"/>
          <w:kern w:val="28"/>
          <w:sz w:val="32"/>
          <w:szCs w:val="32"/>
          <w:lang w:val="en-US" w:eastAsia="zh-CN" w:bidi="ar-SA"/>
        </w:rPr>
      </w:pPr>
      <w:r>
        <w:rPr>
          <w:rFonts w:hint="default" w:ascii="Times New Roman" w:hAnsi="Times New Roman" w:eastAsia="仿宋_GB2312" w:cs="Times New Roman"/>
          <w:b/>
          <w:bCs/>
          <w:color w:val="auto"/>
          <w:sz w:val="32"/>
          <w:szCs w:val="32"/>
          <w:u w:val="none"/>
          <w:shd w:val="clear" w:color="auto" w:fill="FFFFFF"/>
          <w:lang w:val="en-US" w:eastAsia="zh-CN"/>
        </w:rPr>
        <w:t>第</w:t>
      </w:r>
      <w:r>
        <w:rPr>
          <w:rFonts w:hint="eastAsia" w:ascii="Times New Roman" w:hAnsi="Times New Roman" w:eastAsia="仿宋_GB2312" w:cs="Times New Roman"/>
          <w:b/>
          <w:bCs/>
          <w:color w:val="auto"/>
          <w:sz w:val="32"/>
          <w:szCs w:val="32"/>
          <w:highlight w:val="none"/>
          <w:u w:val="none"/>
          <w:shd w:val="clear" w:color="auto" w:fill="FFFFFF"/>
          <w:lang w:val="en-US" w:eastAsia="zh-CN"/>
        </w:rPr>
        <w:t>三</w:t>
      </w:r>
      <w:r>
        <w:rPr>
          <w:rFonts w:hint="default" w:ascii="Times New Roman" w:hAnsi="Times New Roman" w:eastAsia="仿宋_GB2312" w:cs="Times New Roman"/>
          <w:b/>
          <w:bCs/>
          <w:color w:val="auto"/>
          <w:sz w:val="32"/>
          <w:szCs w:val="32"/>
          <w:u w:val="none"/>
          <w:shd w:val="clear" w:color="auto" w:fill="FFFFFF"/>
          <w:lang w:val="en-US" w:eastAsia="zh-CN"/>
        </w:rPr>
        <w:t xml:space="preserve">条 </w:t>
      </w:r>
      <w:r>
        <w:rPr>
          <w:rFonts w:hint="default" w:ascii="Times New Roman" w:hAnsi="Times New Roman" w:eastAsia="仿宋_GB2312" w:cs="Times New Roman"/>
          <w:color w:val="auto"/>
          <w:spacing w:val="-10"/>
          <w:kern w:val="28"/>
          <w:sz w:val="32"/>
          <w:szCs w:val="32"/>
          <w:lang w:val="en-US" w:eastAsia="zh-CN" w:bidi="ar-SA"/>
        </w:rPr>
        <w:t>凡达到政策规定条件的申报单位，一律公平、公开、公正地享受政策支持。</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lang w:val="en-US" w:eastAsia="zh-CN"/>
        </w:rPr>
      </w:pPr>
      <w:r>
        <w:rPr>
          <w:rFonts w:hint="default" w:ascii="Times New Roman" w:hAnsi="Times New Roman" w:eastAsia="黑体" w:cs="Times New Roman"/>
          <w:color w:val="auto"/>
          <w:sz w:val="32"/>
          <w:szCs w:val="32"/>
          <w:lang w:eastAsia="zh-CN"/>
        </w:rPr>
        <w:t>第二章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奖励条件</w:t>
      </w:r>
    </w:p>
    <w:p>
      <w:pPr>
        <w:pStyle w:val="2"/>
        <w:keepNext w:val="0"/>
        <w:keepLines w:val="0"/>
        <w:pageBreakBefore w:val="0"/>
        <w:kinsoku/>
        <w:wordWrap/>
        <w:overflowPunct/>
        <w:topLinePunct w:val="0"/>
        <w:autoSpaceDE/>
        <w:autoSpaceDN/>
        <w:bidi w:val="0"/>
        <w:adjustRightInd/>
        <w:spacing w:line="240" w:lineRule="auto"/>
        <w:ind w:firstLine="602" w:firstLineChars="200"/>
        <w:textAlignment w:val="auto"/>
        <w:rPr>
          <w:rFonts w:hint="default" w:ascii="Times New Roman" w:hAnsi="Times New Roman" w:eastAsia="仿宋_GB2312" w:cs="Times New Roman"/>
          <w:b w:val="0"/>
          <w:bCs w:val="0"/>
          <w:color w:val="auto"/>
          <w:sz w:val="32"/>
          <w:szCs w:val="32"/>
          <w:u w:val="none"/>
          <w:shd w:val="clear" w:color="auto" w:fill="FFFFFF"/>
          <w:lang w:val="en-US" w:eastAsia="zh-CN"/>
        </w:rPr>
      </w:pPr>
      <w:r>
        <w:rPr>
          <w:rFonts w:hint="default" w:ascii="Times New Roman" w:hAnsi="Times New Roman" w:eastAsia="仿宋_GB2312" w:cs="Times New Roman"/>
          <w:b/>
          <w:bCs/>
          <w:color w:val="auto"/>
          <w:sz w:val="32"/>
          <w:szCs w:val="32"/>
          <w:u w:val="none"/>
          <w:shd w:val="clear" w:color="auto" w:fill="FFFFFF"/>
          <w:lang w:val="en-US" w:eastAsia="zh-CN"/>
        </w:rPr>
        <w:t>第</w:t>
      </w:r>
      <w:r>
        <w:rPr>
          <w:rFonts w:hint="eastAsia" w:ascii="Times New Roman" w:hAnsi="Times New Roman" w:eastAsia="仿宋_GB2312" w:cs="Times New Roman"/>
          <w:b/>
          <w:bCs/>
          <w:color w:val="auto"/>
          <w:sz w:val="32"/>
          <w:szCs w:val="32"/>
          <w:u w:val="none"/>
          <w:shd w:val="clear" w:color="auto" w:fill="FFFFFF"/>
          <w:lang w:val="en-US" w:eastAsia="zh-CN"/>
        </w:rPr>
        <w:t>四</w:t>
      </w:r>
      <w:r>
        <w:rPr>
          <w:rFonts w:hint="default" w:ascii="Times New Roman" w:hAnsi="Times New Roman" w:eastAsia="仿宋_GB2312" w:cs="Times New Roman"/>
          <w:b/>
          <w:bCs/>
          <w:color w:val="auto"/>
          <w:sz w:val="32"/>
          <w:szCs w:val="32"/>
          <w:u w:val="none"/>
          <w:shd w:val="clear" w:color="auto" w:fill="FFFFFF"/>
          <w:lang w:val="en-US" w:eastAsia="zh-CN"/>
        </w:rPr>
        <w:t xml:space="preserve">条 </w:t>
      </w:r>
      <w:r>
        <w:rPr>
          <w:rFonts w:hint="default" w:ascii="Times New Roman" w:hAnsi="Times New Roman" w:eastAsia="仿宋_GB2312" w:cs="Times New Roman"/>
          <w:spacing w:val="0"/>
          <w:kern w:val="2"/>
          <w:sz w:val="32"/>
          <w:szCs w:val="32"/>
          <w:lang w:val="en-US" w:eastAsia="zh-CN" w:bidi="ar-SA"/>
        </w:rPr>
        <w:t>省重点数字产品建设项目</w:t>
      </w:r>
      <w:r>
        <w:rPr>
          <w:rFonts w:hint="eastAsia" w:ascii="Times New Roman" w:hAnsi="Times New Roman" w:eastAsia="仿宋_GB2312" w:cs="Times New Roman"/>
          <w:spacing w:val="0"/>
          <w:kern w:val="2"/>
          <w:sz w:val="32"/>
          <w:szCs w:val="32"/>
          <w:lang w:val="en-US" w:eastAsia="zh-CN" w:bidi="ar-SA"/>
        </w:rPr>
        <w:t>奖补应满足以下条件：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（一）申报单位依法登记注册、具有独立法人资格。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不属于失信被执行人且未列入经营异常名录。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FF0000"/>
          <w:sz w:val="32"/>
          <w:szCs w:val="32"/>
          <w:u w:val="none"/>
          <w:lang w:eastAsia="zh-CN"/>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u w:val="none"/>
        </w:rPr>
        <w:t>项目符合国家产业政策，项目备案（核准）、用地、环评等审批要件齐备</w:t>
      </w:r>
      <w:r>
        <w:rPr>
          <w:rFonts w:hint="default" w:ascii="Times New Roman" w:hAnsi="Times New Roman" w:eastAsia="仿宋_GB2312" w:cs="Times New Roman"/>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w:t>
      </w:r>
      <w:r>
        <w:rPr>
          <w:rFonts w:hint="default" w:ascii="Times New Roman" w:hAnsi="Times New Roman" w:eastAsia="仿宋_GB2312" w:cs="Times New Roman"/>
          <w:sz w:val="32"/>
          <w:szCs w:val="32"/>
          <w:u w:val="none"/>
          <w:lang w:eastAsia="zh-CN"/>
        </w:rPr>
        <w:t>四</w:t>
      </w:r>
      <w:r>
        <w:rPr>
          <w:rFonts w:hint="default" w:ascii="Times New Roman" w:hAnsi="Times New Roman" w:eastAsia="仿宋_GB2312" w:cs="Times New Roman"/>
          <w:sz w:val="32"/>
          <w:szCs w:val="32"/>
          <w:u w:val="none"/>
        </w:rPr>
        <w:t>）项目企业财务管理和会计核算制度健全，管理规范、核算准确，无违法违规记录。</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u w:val="none"/>
          <w:lang w:eastAsia="zh-CN"/>
        </w:rPr>
        <w:t>（五）项目符合《黑龙江省重点数字产品指导目录》规定范围。</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default"/>
          <w:lang w:val="en-US" w:eastAsia="zh-CN"/>
        </w:rPr>
      </w:pPr>
      <w:r>
        <w:rPr>
          <w:rFonts w:hint="default" w:ascii="Times New Roman" w:hAnsi="Times New Roman" w:eastAsia="仿宋_GB2312" w:cs="Times New Roman"/>
          <w:sz w:val="32"/>
          <w:szCs w:val="32"/>
          <w:u w:val="none"/>
          <w:lang w:eastAsia="zh-CN"/>
        </w:rPr>
        <w:t>（六）项目投资额（设备和软件）2000 万元及以上、在报年度内已全部建成投产或分期投产。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lang w:val="en-US"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lang w:eastAsia="zh-CN"/>
        </w:rPr>
        <w:t>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奖励标准</w:t>
      </w:r>
    </w:p>
    <w:p>
      <w:pPr>
        <w:pStyle w:val="5"/>
        <w:keepNext w:val="0"/>
        <w:keepLines w:val="0"/>
        <w:pageBreakBefore w:val="0"/>
        <w:widowControl/>
        <w:suppressLineNumbers w:val="0"/>
        <w:kinsoku/>
        <w:wordWrap/>
        <w:overflowPunct/>
        <w:topLinePunct w:val="0"/>
        <w:autoSpaceDE/>
        <w:autoSpaceDN/>
        <w:bidi w:val="0"/>
        <w:adjustRightInd/>
        <w:spacing w:before="0" w:beforeAutospacing="0" w:after="0" w:afterAutospacing="0" w:line="240" w:lineRule="auto"/>
        <w:ind w:left="0" w:right="0"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u w:val="none"/>
          <w:shd w:val="clear" w:color="auto" w:fill="FFFFFF"/>
          <w:lang w:val="en-US" w:eastAsia="zh-CN"/>
        </w:rPr>
        <w:t>第</w:t>
      </w:r>
      <w:r>
        <w:rPr>
          <w:rFonts w:hint="eastAsia" w:ascii="Times New Roman" w:hAnsi="Times New Roman" w:eastAsia="仿宋_GB2312" w:cs="Times New Roman"/>
          <w:b/>
          <w:bCs/>
          <w:color w:val="auto"/>
          <w:sz w:val="32"/>
          <w:szCs w:val="32"/>
          <w:u w:val="none"/>
          <w:shd w:val="clear" w:color="auto" w:fill="FFFFFF"/>
          <w:lang w:val="en-US" w:eastAsia="zh-CN"/>
        </w:rPr>
        <w:t>五</w:t>
      </w:r>
      <w:r>
        <w:rPr>
          <w:rFonts w:hint="default" w:ascii="Times New Roman" w:hAnsi="Times New Roman" w:eastAsia="仿宋_GB2312" w:cs="Times New Roman"/>
          <w:b/>
          <w:bCs/>
          <w:color w:val="auto"/>
          <w:sz w:val="32"/>
          <w:szCs w:val="32"/>
          <w:u w:val="none"/>
          <w:shd w:val="clear" w:color="auto" w:fill="FFFFFF"/>
          <w:lang w:val="en-US" w:eastAsia="zh-CN"/>
        </w:rPr>
        <w:t xml:space="preserve">条 </w:t>
      </w:r>
      <w:r>
        <w:rPr>
          <w:rFonts w:hint="eastAsia"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投资额（设备和软件）2000万元及以上</w:t>
      </w:r>
      <w:r>
        <w:rPr>
          <w:rFonts w:hint="eastAsia" w:ascii="Times New Roman" w:hAnsi="Times New Roman" w:eastAsia="仿宋_GB2312" w:cs="Times New Roman"/>
          <w:sz w:val="32"/>
          <w:szCs w:val="32"/>
          <w:lang w:eastAsia="zh-CN"/>
        </w:rPr>
        <w:t>的项目，</w:t>
      </w:r>
      <w:r>
        <w:rPr>
          <w:rFonts w:hint="default" w:ascii="Times New Roman" w:hAnsi="Times New Roman" w:eastAsia="仿宋_GB2312" w:cs="Times New Roman"/>
          <w:sz w:val="32"/>
          <w:szCs w:val="32"/>
        </w:rPr>
        <w:t>省级财政按项目实际完成投资额的10%给予补助</w:t>
      </w:r>
      <w:r>
        <w:rPr>
          <w:rFonts w:hint="default" w:ascii="Times New Roman" w:hAnsi="Times New Roman" w:eastAsia="仿宋_GB2312" w:cs="Times New Roman"/>
          <w:color w:val="auto"/>
          <w:sz w:val="32"/>
          <w:szCs w:val="32"/>
          <w:highlight w:val="none"/>
          <w:u w:val="none"/>
          <w:lang w:eastAsia="zh-CN"/>
        </w:rPr>
        <w:t>（按照项目近两年投资额统计）</w:t>
      </w:r>
      <w:r>
        <w:rPr>
          <w:rFonts w:hint="default" w:ascii="Times New Roman" w:hAnsi="Times New Roman" w:eastAsia="仿宋_GB2312" w:cs="Times New Roman"/>
          <w:sz w:val="32"/>
          <w:szCs w:val="32"/>
        </w:rPr>
        <w:t>，单个项目最高不超过600万元。</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lang w:val="en-US"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lang w:eastAsia="zh-CN"/>
        </w:rPr>
        <w:t>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兑现程序</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bCs/>
          <w:color w:val="auto"/>
          <w:spacing w:val="0"/>
          <w:kern w:val="2"/>
          <w:sz w:val="32"/>
          <w:szCs w:val="32"/>
          <w:u w:val="none"/>
          <w:lang w:val="en-US" w:eastAsia="zh-CN" w:bidi="ar-SA"/>
        </w:rPr>
        <w:t>第</w:t>
      </w:r>
      <w:r>
        <w:rPr>
          <w:rFonts w:hint="eastAsia" w:ascii="Times New Roman" w:hAnsi="Times New Roman" w:eastAsia="仿宋_GB2312" w:cs="Times New Roman"/>
          <w:b/>
          <w:bCs/>
          <w:color w:val="auto"/>
          <w:spacing w:val="0"/>
          <w:kern w:val="2"/>
          <w:sz w:val="32"/>
          <w:szCs w:val="32"/>
          <w:u w:val="none"/>
          <w:lang w:val="en-US" w:eastAsia="zh-CN" w:bidi="ar-SA"/>
        </w:rPr>
        <w:t>六</w:t>
      </w:r>
      <w:r>
        <w:rPr>
          <w:rFonts w:hint="default" w:ascii="Times New Roman" w:hAnsi="Times New Roman" w:eastAsia="仿宋_GB2312" w:cs="Times New Roman"/>
          <w:b/>
          <w:bCs/>
          <w:color w:val="auto"/>
          <w:spacing w:val="0"/>
          <w:kern w:val="2"/>
          <w:sz w:val="32"/>
          <w:szCs w:val="32"/>
          <w:u w:val="none"/>
          <w:lang w:val="en-US" w:eastAsia="zh-CN" w:bidi="ar-SA"/>
        </w:rPr>
        <w:t xml:space="preserve">条 </w:t>
      </w:r>
      <w:r>
        <w:rPr>
          <w:rFonts w:hint="default" w:ascii="Times New Roman" w:hAnsi="Times New Roman" w:eastAsia="仿宋_GB2312" w:cs="Times New Roman"/>
          <w:b w:val="0"/>
          <w:bCs w:val="0"/>
          <w:color w:val="auto"/>
          <w:sz w:val="32"/>
          <w:szCs w:val="32"/>
          <w:shd w:val="clear" w:color="auto" w:fill="FFFFFF"/>
          <w:lang w:eastAsia="zh-CN"/>
        </w:rPr>
        <w:t>每年集中组织政策兑现，按以下程序进行：</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eastAsia" w:ascii="Times New Roman" w:hAnsi="Times New Roman" w:eastAsia="仿宋_GB2312" w:cs="Times New Roman"/>
          <w:b w:val="0"/>
          <w:bCs w:val="0"/>
          <w:color w:val="auto"/>
          <w:sz w:val="32"/>
          <w:szCs w:val="32"/>
          <w:shd w:val="clear" w:color="auto" w:fill="FFFFFF"/>
          <w:lang w:val="en-US" w:eastAsia="zh-CN"/>
        </w:rPr>
      </w:pPr>
      <w:r>
        <w:rPr>
          <w:rFonts w:hint="default" w:ascii="Times New Roman" w:hAnsi="Times New Roman" w:eastAsia="仿宋_GB2312" w:cs="Times New Roman"/>
          <w:b w:val="0"/>
          <w:bCs w:val="0"/>
          <w:color w:val="auto"/>
          <w:sz w:val="32"/>
          <w:szCs w:val="32"/>
          <w:shd w:val="clear" w:color="auto" w:fill="FFFFFF"/>
          <w:lang w:eastAsia="zh-CN"/>
        </w:rPr>
        <w:t>（一）省工信厅会同省财政厅印发申报通知，明确具体工作安排和有关要求，启动申报工作。各市（地）工信部门会同财政部门组织项目建设单位申报，核验项目建设期限、投产情况，指导项目建设单位按要求准备申报材料并确保材料形式完整、内容符合要求。各市（地）工信部门会同本级财政部门汇总辖区内申报项目相关材料后，形成申请兑现政策请示文件，联合呈报省工信厅、省财政厅。</w:t>
      </w:r>
      <w:r>
        <w:rPr>
          <w:rFonts w:hint="eastAsia" w:ascii="Times New Roman" w:hAnsi="Times New Roman" w:eastAsia="仿宋_GB2312" w:cs="Times New Roman"/>
          <w:b w:val="0"/>
          <w:bCs w:val="0"/>
          <w:color w:val="auto"/>
          <w:sz w:val="32"/>
          <w:szCs w:val="32"/>
          <w:shd w:val="clear" w:color="auto" w:fill="FFFFFF"/>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sz w:val="32"/>
          <w:szCs w:val="32"/>
          <w:lang w:val="en-US" w:eastAsia="zh-CN"/>
        </w:rPr>
        <w:t>（二）省工信厅负责确定申报项目建设单位信用情况。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lang w:eastAsia="zh-CN"/>
        </w:rPr>
        <w:t>三</w:t>
      </w:r>
      <w:r>
        <w:rPr>
          <w:rFonts w:hint="default" w:ascii="Times New Roman" w:hAnsi="Times New Roman" w:eastAsia="仿宋_GB2312" w:cs="Times New Roman"/>
          <w:b w:val="0"/>
          <w:bCs w:val="0"/>
          <w:color w:val="auto"/>
          <w:sz w:val="32"/>
          <w:szCs w:val="32"/>
          <w:shd w:val="clear" w:color="auto" w:fill="FFFFFF"/>
          <w:lang w:eastAsia="zh-CN"/>
        </w:rPr>
        <w:t>）省工信厅通过聘请第三方机构形式对申报项目的固定资产投资及设备和软件投入情况进行财务审核。第三方机构根据审核结果提出拟补助支持名单及资金分配意见。</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lang w:eastAsia="zh-CN"/>
        </w:rPr>
        <w:t>四</w:t>
      </w:r>
      <w:r>
        <w:rPr>
          <w:rFonts w:hint="default" w:ascii="Times New Roman" w:hAnsi="Times New Roman" w:eastAsia="仿宋_GB2312" w:cs="Times New Roman"/>
          <w:b w:val="0"/>
          <w:bCs w:val="0"/>
          <w:color w:val="auto"/>
          <w:sz w:val="32"/>
          <w:szCs w:val="32"/>
          <w:shd w:val="clear" w:color="auto" w:fill="FFFFFF"/>
          <w:lang w:eastAsia="zh-CN"/>
        </w:rPr>
        <w:t>）拟支持名单通过省工信厅网站</w:t>
      </w:r>
      <w:r>
        <w:rPr>
          <w:rFonts w:hint="eastAsia" w:ascii="Times New Roman" w:hAnsi="Times New Roman" w:eastAsia="仿宋_GB2312" w:cs="Times New Roman"/>
          <w:b w:val="0"/>
          <w:bCs w:val="0"/>
          <w:color w:val="auto"/>
          <w:sz w:val="32"/>
          <w:szCs w:val="32"/>
          <w:shd w:val="clear" w:color="auto" w:fill="FFFFFF"/>
          <w:lang w:eastAsia="zh-CN"/>
        </w:rPr>
        <w:t>向</w:t>
      </w:r>
      <w:r>
        <w:rPr>
          <w:rFonts w:hint="default" w:ascii="Times New Roman" w:hAnsi="Times New Roman" w:eastAsia="仿宋_GB2312" w:cs="Times New Roman"/>
          <w:b w:val="0"/>
          <w:bCs w:val="0"/>
          <w:color w:val="auto"/>
          <w:sz w:val="32"/>
          <w:szCs w:val="32"/>
          <w:shd w:val="clear" w:color="auto" w:fill="FFFFFF"/>
          <w:lang w:eastAsia="zh-CN"/>
        </w:rPr>
        <w:t>社会公示，公示期不少于5个工作日。公示期满无异议后，提请省工信厅党组会审议。</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outlineLvl w:val="1"/>
        <w:rPr>
          <w:rFonts w:hint="default" w:ascii="Times New Roman" w:hAnsi="Times New Roman" w:eastAsia="仿宋_GB2312" w:cs="Times New Roman"/>
          <w:b w:val="0"/>
          <w:bCs w:val="0"/>
          <w:color w:val="auto"/>
          <w:sz w:val="32"/>
          <w:szCs w:val="32"/>
          <w:shd w:val="clear" w:color="auto" w:fill="FFFFFF"/>
          <w:lang w:eastAsia="zh-CN"/>
        </w:rPr>
      </w:pPr>
      <w:r>
        <w:rPr>
          <w:rFonts w:hint="default" w:ascii="Times New Roman" w:hAnsi="Times New Roman" w:eastAsia="仿宋_GB2312" w:cs="Times New Roman"/>
          <w:b w:val="0"/>
          <w:bCs w:val="0"/>
          <w:color w:val="auto"/>
          <w:sz w:val="32"/>
          <w:szCs w:val="32"/>
          <w:shd w:val="clear" w:color="auto" w:fill="FFFFFF"/>
          <w:lang w:eastAsia="zh-CN"/>
        </w:rPr>
        <w:t>（</w:t>
      </w:r>
      <w:r>
        <w:rPr>
          <w:rFonts w:hint="eastAsia" w:ascii="Times New Roman" w:hAnsi="Times New Roman" w:eastAsia="仿宋_GB2312" w:cs="Times New Roman"/>
          <w:b w:val="0"/>
          <w:bCs w:val="0"/>
          <w:color w:val="auto"/>
          <w:sz w:val="32"/>
          <w:szCs w:val="32"/>
          <w:shd w:val="clear" w:color="auto" w:fill="FFFFFF"/>
          <w:lang w:eastAsia="zh-CN"/>
        </w:rPr>
        <w:t>五</w:t>
      </w:r>
      <w:r>
        <w:rPr>
          <w:rFonts w:hint="default" w:ascii="Times New Roman" w:hAnsi="Times New Roman" w:eastAsia="仿宋_GB2312" w:cs="Times New Roman"/>
          <w:b w:val="0"/>
          <w:bCs w:val="0"/>
          <w:color w:val="auto"/>
          <w:sz w:val="32"/>
          <w:szCs w:val="32"/>
          <w:shd w:val="clear" w:color="auto" w:fill="FFFFFF"/>
          <w:lang w:eastAsia="zh-CN"/>
        </w:rPr>
        <w:t>）审议通过后，省工信厅会同省财政厅向省政府呈报资金拨付请示</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省财政厅根据批复拨付奖励资金，同步分解下达经省工信厅确认的绩效指标。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仿宋_GB2312" w:cs="Times New Roman"/>
          <w:b w:val="0"/>
          <w:bCs w:val="0"/>
          <w:color w:val="auto"/>
          <w:spacing w:val="0"/>
          <w:kern w:val="2"/>
          <w:sz w:val="32"/>
          <w:szCs w:val="32"/>
          <w:shd w:val="clear" w:color="auto" w:fill="FFFFFF"/>
          <w:lang w:val="en-US" w:eastAsia="zh-CN" w:bidi="ar-SA"/>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lang w:eastAsia="zh-CN"/>
        </w:rPr>
        <w:t>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监督管理</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eastAsia="仿宋_GB2312"/>
          <w:sz w:val="32"/>
          <w:szCs w:val="32"/>
        </w:rPr>
      </w:pPr>
      <w:r>
        <w:rPr>
          <w:rFonts w:hint="default" w:ascii="Times New Roman" w:hAnsi="Times New Roman" w:eastAsia="仿宋_GB2312" w:cs="Times New Roman"/>
          <w:b/>
          <w:bCs/>
          <w:color w:val="auto"/>
          <w:spacing w:val="0"/>
          <w:kern w:val="2"/>
          <w:sz w:val="32"/>
          <w:szCs w:val="32"/>
          <w:u w:val="none"/>
          <w:lang w:val="en-US" w:eastAsia="zh-CN" w:bidi="ar-SA"/>
        </w:rPr>
        <w:t>第</w:t>
      </w:r>
      <w:r>
        <w:rPr>
          <w:rFonts w:hint="eastAsia" w:ascii="Times New Roman" w:hAnsi="Times New Roman" w:eastAsia="仿宋_GB2312" w:cs="Times New Roman"/>
          <w:b/>
          <w:bCs/>
          <w:color w:val="auto"/>
          <w:spacing w:val="0"/>
          <w:kern w:val="2"/>
          <w:sz w:val="32"/>
          <w:szCs w:val="32"/>
          <w:u w:val="none"/>
          <w:lang w:val="en-US" w:eastAsia="zh-CN" w:bidi="ar-SA"/>
        </w:rPr>
        <w:t>七</w:t>
      </w:r>
      <w:r>
        <w:rPr>
          <w:rFonts w:hint="default" w:ascii="Times New Roman" w:hAnsi="Times New Roman" w:eastAsia="仿宋_GB2312" w:cs="Times New Roman"/>
          <w:b/>
          <w:bCs/>
          <w:color w:val="auto"/>
          <w:spacing w:val="0"/>
          <w:kern w:val="2"/>
          <w:sz w:val="32"/>
          <w:szCs w:val="32"/>
          <w:u w:val="none"/>
          <w:lang w:val="en-US" w:eastAsia="zh-CN" w:bidi="ar-SA"/>
        </w:rPr>
        <w:t xml:space="preserve">条 </w:t>
      </w:r>
      <w:r>
        <w:rPr>
          <w:rFonts w:eastAsia="仿宋_GB2312"/>
          <w:sz w:val="32"/>
          <w:szCs w:val="32"/>
        </w:rPr>
        <w:t>申报单位、省级主管部门、第三方评审机构等分别履行以下职责：</w:t>
      </w:r>
    </w:p>
    <w:p>
      <w:pPr>
        <w:pStyle w:val="9"/>
        <w:keepNext w:val="0"/>
        <w:keepLines w:val="0"/>
        <w:pageBreakBefore w:val="0"/>
        <w:kinsoku/>
        <w:wordWrap/>
        <w:overflowPunct/>
        <w:topLinePunct w:val="0"/>
        <w:autoSpaceDE/>
        <w:autoSpaceDN/>
        <w:bidi w:val="0"/>
        <w:adjustRightInd/>
        <w:spacing w:line="240" w:lineRule="auto"/>
        <w:ind w:firstLine="640" w:firstLineChars="200"/>
        <w:textAlignment w:val="auto"/>
        <w:rPr>
          <w:rFonts w:eastAsia="仿宋_GB2312"/>
          <w:sz w:val="32"/>
          <w:szCs w:val="32"/>
        </w:rPr>
      </w:pPr>
      <w:r>
        <w:rPr>
          <w:rFonts w:eastAsia="仿宋_GB2312"/>
          <w:sz w:val="32"/>
          <w:szCs w:val="32"/>
        </w:rPr>
        <w:t>（一）申报单位应对其提交申报材料的真实性、准确性、完整性、规范性负责并承担申报主体责任，自觉接受并积极配合省级主管部门及有关部门的监督管理。对于存在弄虚作假骗取奖励资金的企业，一律取消奖励资格，追回奖金，依法依规严肃追究相关单位及相关人员责任。</w:t>
      </w:r>
    </w:p>
    <w:p>
      <w:pPr>
        <w:pStyle w:val="9"/>
        <w:keepNext w:val="0"/>
        <w:keepLines w:val="0"/>
        <w:pageBreakBefore w:val="0"/>
        <w:kinsoku/>
        <w:wordWrap/>
        <w:overflowPunct/>
        <w:topLinePunct w:val="0"/>
        <w:autoSpaceDE/>
        <w:autoSpaceDN/>
        <w:bidi w:val="0"/>
        <w:adjustRightInd/>
        <w:spacing w:line="240" w:lineRule="auto"/>
        <w:ind w:firstLine="640" w:firstLineChars="200"/>
        <w:textAlignment w:val="auto"/>
        <w:rPr>
          <w:rFonts w:hint="eastAsia" w:ascii="仿宋_GB2312" w:hAnsi="仿宋_GB2312" w:eastAsia="仿宋_GB2312" w:cs="仿宋_GB2312"/>
          <w:sz w:val="32"/>
          <w:szCs w:val="32"/>
          <w:highlight w:val="none"/>
          <w:u w:val="none"/>
          <w:shd w:val="clear" w:color="auto" w:fill="FFFFFF"/>
        </w:rPr>
      </w:pPr>
      <w:r>
        <w:rPr>
          <w:rFonts w:eastAsia="仿宋_GB2312"/>
          <w:sz w:val="32"/>
          <w:szCs w:val="32"/>
          <w:highlight w:val="none"/>
        </w:rPr>
        <w:t>（二）省工信厅牵头负责政策兑现的组织实施，</w:t>
      </w:r>
      <w:r>
        <w:rPr>
          <w:rFonts w:hint="eastAsia" w:ascii="仿宋_GB2312" w:hAnsi="仿宋_GB2312" w:eastAsia="仿宋_GB2312" w:cs="仿宋_GB2312"/>
          <w:sz w:val="32"/>
          <w:szCs w:val="32"/>
          <w:highlight w:val="none"/>
          <w:u w:val="none"/>
          <w:shd w:val="clear" w:color="auto" w:fill="FFFFFF"/>
        </w:rPr>
        <w:t>履行财会监督责任。省财政厅负责统筹做好政策资金保障和分解下达，督促组织做好政策执行情况的财会监督，对发现的问题及时纠偏。市县财政部门应当及时拨付奖励资金。任何单位和个人不得以任何理由截留、挤占或挪用专项资金。</w:t>
      </w:r>
    </w:p>
    <w:p>
      <w:pPr>
        <w:pStyle w:val="9"/>
        <w:keepNext w:val="0"/>
        <w:keepLines w:val="0"/>
        <w:pageBreakBefore w:val="0"/>
        <w:kinsoku/>
        <w:wordWrap/>
        <w:overflowPunct/>
        <w:topLinePunct w:val="0"/>
        <w:autoSpaceDE/>
        <w:autoSpaceDN/>
        <w:bidi w:val="0"/>
        <w:adjustRightInd/>
        <w:spacing w:line="240" w:lineRule="auto"/>
        <w:ind w:firstLine="640" w:firstLineChars="200"/>
        <w:textAlignment w:val="auto"/>
        <w:rPr>
          <w:rFonts w:eastAsia="仿宋_GB2312"/>
          <w:sz w:val="32"/>
          <w:szCs w:val="32"/>
          <w:u w:val="none"/>
        </w:rPr>
      </w:pPr>
      <w:r>
        <w:rPr>
          <w:rFonts w:eastAsia="仿宋_GB2312"/>
          <w:sz w:val="32"/>
          <w:szCs w:val="32"/>
          <w:u w:val="none"/>
        </w:rPr>
        <w:t>（三）</w:t>
      </w:r>
      <w:r>
        <w:rPr>
          <w:rFonts w:hint="eastAsia" w:eastAsia="仿宋_GB2312"/>
          <w:sz w:val="32"/>
          <w:szCs w:val="32"/>
          <w:u w:val="none"/>
        </w:rPr>
        <w:t>第三方机构评审要实施全程操作留痕，做到相关操作记录可查询、可追溯，确保评审过程的客观性和规范性，对评审结果负责并承担相应的法律责任。省工信厅要对第三方评审过程进行全程跟踪监督，对专家和第三方机构审核的结果进行复核，确保评审结果的准确性和真实性。</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ascii="Times New Roman" w:hAnsi="Times New Roman" w:eastAsia="仿宋_GB2312" w:cs="Times New Roman"/>
          <w:b/>
          <w:bCs/>
          <w:color w:val="auto"/>
          <w:sz w:val="32"/>
          <w:szCs w:val="32"/>
          <w:lang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lang w:eastAsia="zh-CN"/>
        </w:rPr>
        <w:t>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绩效管理</w:t>
      </w:r>
    </w:p>
    <w:p>
      <w:pPr>
        <w:pStyle w:val="9"/>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pacing w:val="0"/>
          <w:kern w:val="2"/>
          <w:sz w:val="32"/>
          <w:szCs w:val="32"/>
          <w:u w:val="none"/>
          <w:lang w:val="en-US" w:eastAsia="zh-CN" w:bidi="ar-SA"/>
        </w:rPr>
        <w:t>第</w:t>
      </w:r>
      <w:r>
        <w:rPr>
          <w:rFonts w:hint="eastAsia" w:eastAsia="仿宋_GB2312" w:cs="Times New Roman"/>
          <w:b/>
          <w:bCs/>
          <w:color w:val="auto"/>
          <w:spacing w:val="0"/>
          <w:kern w:val="2"/>
          <w:sz w:val="32"/>
          <w:szCs w:val="32"/>
          <w:u w:val="none"/>
          <w:lang w:val="en-US" w:eastAsia="zh-CN" w:bidi="ar-SA"/>
        </w:rPr>
        <w:t>八</w:t>
      </w:r>
      <w:r>
        <w:rPr>
          <w:rFonts w:hint="default" w:ascii="Times New Roman" w:hAnsi="Times New Roman" w:eastAsia="仿宋_GB2312" w:cs="Times New Roman"/>
          <w:b/>
          <w:bCs/>
          <w:color w:val="auto"/>
          <w:spacing w:val="0"/>
          <w:kern w:val="2"/>
          <w:sz w:val="32"/>
          <w:szCs w:val="32"/>
          <w:u w:val="none"/>
          <w:lang w:val="en-US" w:eastAsia="zh-CN" w:bidi="ar-SA"/>
        </w:rPr>
        <w:t xml:space="preserve">条 </w:t>
      </w:r>
      <w:r>
        <w:rPr>
          <w:rFonts w:hint="default" w:ascii="Times New Roman" w:hAnsi="Times New Roman" w:eastAsia="仿宋_GB2312" w:cs="Times New Roman"/>
          <w:color w:val="auto"/>
          <w:sz w:val="32"/>
          <w:szCs w:val="32"/>
          <w:lang w:val="en-US" w:eastAsia="zh-CN"/>
        </w:rPr>
        <w:t>省财政厅负责督促指导省工信厅开展预算绩效管理工作。省工信厅负责全过程绩效管理，组织开展专项资金绩效目标管理、绩效运行监控、部门绩效评价等绩效管理工作。市县工信部门按照省工信厅相关要求，负责对照绩效目标做好绩效评价工作，确保绩效目标如期实现。</w:t>
      </w:r>
    </w:p>
    <w:p>
      <w:pPr>
        <w:pStyle w:val="9"/>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pacing w:val="0"/>
          <w:kern w:val="2"/>
          <w:sz w:val="32"/>
          <w:szCs w:val="32"/>
          <w:u w:val="none"/>
          <w:lang w:val="en-US" w:eastAsia="zh-CN" w:bidi="ar-SA"/>
        </w:rPr>
        <w:t>第</w:t>
      </w:r>
      <w:r>
        <w:rPr>
          <w:rFonts w:hint="eastAsia" w:eastAsia="仿宋_GB2312" w:cs="Times New Roman"/>
          <w:b/>
          <w:bCs/>
          <w:color w:val="auto"/>
          <w:spacing w:val="0"/>
          <w:kern w:val="2"/>
          <w:sz w:val="32"/>
          <w:szCs w:val="32"/>
          <w:u w:val="none"/>
          <w:lang w:val="en-US" w:eastAsia="zh-CN" w:bidi="ar-SA"/>
        </w:rPr>
        <w:t>九</w:t>
      </w:r>
      <w:r>
        <w:rPr>
          <w:rFonts w:hint="default" w:ascii="Times New Roman" w:hAnsi="Times New Roman" w:eastAsia="仿宋_GB2312" w:cs="Times New Roman"/>
          <w:b/>
          <w:bCs/>
          <w:color w:val="auto"/>
          <w:spacing w:val="0"/>
          <w:kern w:val="2"/>
          <w:sz w:val="32"/>
          <w:szCs w:val="32"/>
          <w:u w:val="none"/>
          <w:lang w:val="en-US" w:eastAsia="zh-CN" w:bidi="ar-SA"/>
        </w:rPr>
        <w:t xml:space="preserve">条 </w:t>
      </w:r>
      <w:r>
        <w:rPr>
          <w:rFonts w:hint="default" w:ascii="Times New Roman" w:hAnsi="Times New Roman" w:eastAsia="仿宋_GB2312" w:cs="Times New Roman"/>
          <w:color w:val="auto"/>
          <w:sz w:val="32"/>
          <w:szCs w:val="32"/>
          <w:lang w:val="en-US" w:eastAsia="zh-CN"/>
        </w:rPr>
        <w:t>加强事前绩效目标管理。省工信厅根据政策目标和行业领域发展导向，组织设定可量化、可衡量、可定性并且符合行业特点以及具备产出效果的绩效目标，作为绩效管理的必要性条件。</w:t>
      </w:r>
    </w:p>
    <w:p>
      <w:pPr>
        <w:pStyle w:val="9"/>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pacing w:val="0"/>
          <w:kern w:val="2"/>
          <w:sz w:val="32"/>
          <w:szCs w:val="32"/>
          <w:u w:val="none"/>
          <w:lang w:val="en-US" w:eastAsia="zh-CN" w:bidi="ar-SA"/>
        </w:rPr>
        <w:t xml:space="preserve">第十条 </w:t>
      </w:r>
      <w:r>
        <w:rPr>
          <w:rFonts w:hint="default" w:ascii="Times New Roman" w:hAnsi="Times New Roman" w:eastAsia="仿宋_GB2312" w:cs="Times New Roman"/>
          <w:color w:val="auto"/>
          <w:sz w:val="32"/>
          <w:szCs w:val="32"/>
          <w:lang w:val="en-US" w:eastAsia="zh-CN"/>
        </w:rPr>
        <w:t>加强事中绩效运行监控。省工信厅在政策实施过程中，组织开展绩效目标实现程度和预算执行进度“双监控”，对监控中发现政策导向偏离绩效目标及管理漏洞，及时纠正偏差。</w:t>
      </w:r>
    </w:p>
    <w:p>
      <w:pPr>
        <w:pStyle w:val="9"/>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pacing w:val="0"/>
          <w:kern w:val="2"/>
          <w:sz w:val="32"/>
          <w:szCs w:val="32"/>
          <w:u w:val="none"/>
          <w:lang w:val="en-US" w:eastAsia="zh-CN" w:bidi="ar-SA"/>
        </w:rPr>
        <w:t>第十</w:t>
      </w:r>
      <w:r>
        <w:rPr>
          <w:rFonts w:hint="eastAsia" w:eastAsia="仿宋_GB2312" w:cs="Times New Roman"/>
          <w:b/>
          <w:bCs/>
          <w:color w:val="auto"/>
          <w:spacing w:val="0"/>
          <w:kern w:val="2"/>
          <w:sz w:val="32"/>
          <w:szCs w:val="32"/>
          <w:u w:val="none"/>
          <w:lang w:val="en-US" w:eastAsia="zh-CN" w:bidi="ar-SA"/>
        </w:rPr>
        <w:t>一</w:t>
      </w:r>
      <w:r>
        <w:rPr>
          <w:rFonts w:hint="default" w:ascii="Times New Roman" w:hAnsi="Times New Roman" w:eastAsia="仿宋_GB2312" w:cs="Times New Roman"/>
          <w:b/>
          <w:bCs/>
          <w:color w:val="auto"/>
          <w:spacing w:val="0"/>
          <w:kern w:val="2"/>
          <w:sz w:val="32"/>
          <w:szCs w:val="32"/>
          <w:u w:val="none"/>
          <w:lang w:val="en-US" w:eastAsia="zh-CN" w:bidi="ar-SA"/>
        </w:rPr>
        <w:t xml:space="preserve">条 </w:t>
      </w:r>
      <w:r>
        <w:rPr>
          <w:rFonts w:hint="default" w:ascii="Times New Roman" w:hAnsi="Times New Roman" w:eastAsia="仿宋_GB2312" w:cs="Times New Roman"/>
          <w:color w:val="auto"/>
          <w:sz w:val="32"/>
          <w:szCs w:val="32"/>
          <w:lang w:val="en-US" w:eastAsia="zh-CN"/>
        </w:rPr>
        <w:t xml:space="preserve">加强事后绩效评价。省工信厅负责对照绩效目标做好事后绩效评价工作，聚焦注重投入产出效益，对政策实施效果和资金使用情况开展“双评价”，提升绩效评价质量和实效。健全评价指标体系，将包括但不限于带动新增销售收入、带动数字化绿色化等技术改造项目数等个性化指标作为产出效益评价重点。加强绩效评价结果应用，将评价结果作为政策调整、预算安排和资金分配的重要依据，对于产出效益未达预期的，对政策延续实施的必要性开展评估，根据评估结果提出应用措施。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0"/>
        <w:rPr>
          <w:rFonts w:hint="default"/>
          <w:lang w:val="en-US" w:eastAsia="zh-CN"/>
        </w:rPr>
      </w:pPr>
      <w:r>
        <w:rPr>
          <w:rFonts w:hint="default" w:ascii="Times New Roman" w:hAnsi="Times New Roman" w:eastAsia="黑体" w:cs="Times New Roman"/>
          <w:color w:val="auto"/>
          <w:sz w:val="32"/>
          <w:szCs w:val="32"/>
          <w:lang w:eastAsia="zh-CN"/>
        </w:rPr>
        <w:t>第</w:t>
      </w:r>
      <w:r>
        <w:rPr>
          <w:rFonts w:hint="eastAsia"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lang w:eastAsia="zh-CN"/>
        </w:rPr>
        <w:t>章</w:t>
      </w:r>
      <w:r>
        <w:rPr>
          <w:rFonts w:hint="default" w:ascii="Times New Roman" w:hAnsi="Times New Roman" w:eastAsia="黑体" w:cs="Times New Roman"/>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附 则</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jc w:val="left"/>
        <w:textAlignment w:val="auto"/>
        <w:outlineLvl w:val="1"/>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pacing w:val="0"/>
          <w:kern w:val="2"/>
          <w:sz w:val="32"/>
          <w:szCs w:val="32"/>
          <w:u w:val="none"/>
          <w:lang w:val="en-US" w:eastAsia="zh-CN" w:bidi="ar-SA"/>
        </w:rPr>
        <w:t>第十</w:t>
      </w:r>
      <w:r>
        <w:rPr>
          <w:rFonts w:hint="eastAsia" w:eastAsia="仿宋_GB2312" w:cs="Times New Roman"/>
          <w:b/>
          <w:bCs/>
          <w:color w:val="auto"/>
          <w:spacing w:val="0"/>
          <w:kern w:val="2"/>
          <w:sz w:val="32"/>
          <w:szCs w:val="32"/>
          <w:u w:val="none"/>
          <w:lang w:val="en-US" w:eastAsia="zh-CN" w:bidi="ar-SA"/>
        </w:rPr>
        <w:t>二</w:t>
      </w:r>
      <w:r>
        <w:rPr>
          <w:rFonts w:hint="default" w:ascii="Times New Roman" w:hAnsi="Times New Roman" w:eastAsia="仿宋_GB2312" w:cs="Times New Roman"/>
          <w:b/>
          <w:bCs/>
          <w:color w:val="auto"/>
          <w:spacing w:val="0"/>
          <w:kern w:val="2"/>
          <w:sz w:val="32"/>
          <w:szCs w:val="32"/>
          <w:u w:val="none"/>
          <w:lang w:val="en-US" w:eastAsia="zh-CN" w:bidi="ar-SA"/>
        </w:rPr>
        <w:t>条</w:t>
      </w:r>
      <w:r>
        <w:rPr>
          <w:rFonts w:hint="eastAsia" w:ascii="Times New Roman" w:hAnsi="Times New Roman" w:eastAsia="仿宋_GB2312" w:cs="Times New Roman"/>
          <w:b/>
          <w:bCs/>
          <w:color w:val="auto"/>
          <w:spacing w:val="0"/>
          <w:kern w:val="2"/>
          <w:sz w:val="32"/>
          <w:szCs w:val="32"/>
          <w:u w:val="none"/>
          <w:lang w:val="en-US" w:eastAsia="zh-CN" w:bidi="ar-SA"/>
        </w:rPr>
        <w:t xml:space="preserve"> </w:t>
      </w:r>
      <w:r>
        <w:rPr>
          <w:rFonts w:hint="default" w:ascii="Times New Roman" w:hAnsi="Times New Roman" w:eastAsia="仿宋_GB2312" w:cs="Times New Roman"/>
          <w:color w:val="auto"/>
          <w:sz w:val="32"/>
          <w:szCs w:val="32"/>
          <w:shd w:val="clear" w:color="auto" w:fill="FFFFFF"/>
        </w:rPr>
        <w:t>本细则由省工信厅、省财政厅按照职责分工分别负责解释。</w:t>
      </w:r>
    </w:p>
    <w:p>
      <w:pPr>
        <w:pStyle w:val="2"/>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rPr>
          <w:rFonts w:hint="default" w:ascii="Times New Roman" w:hAnsi="Times New Roman" w:eastAsia="仿宋_GB2312" w:cs="Times New Roman"/>
          <w:b w:val="0"/>
          <w:bCs w:val="0"/>
          <w:color w:val="auto"/>
          <w:sz w:val="32"/>
          <w:szCs w:val="32"/>
          <w:u w:val="none"/>
          <w:shd w:val="clear" w:color="auto" w:fill="FFFFFF"/>
          <w:lang w:val="en-US" w:eastAsia="zh-CN"/>
        </w:rPr>
      </w:pPr>
      <w:r>
        <w:rPr>
          <w:rFonts w:hint="default" w:ascii="Times New Roman" w:hAnsi="Times New Roman" w:eastAsia="仿宋_GB2312" w:cs="Times New Roman"/>
          <w:b/>
          <w:bCs/>
          <w:color w:val="auto"/>
          <w:spacing w:val="0"/>
          <w:kern w:val="2"/>
          <w:sz w:val="32"/>
          <w:szCs w:val="32"/>
          <w:u w:val="none"/>
          <w:lang w:val="en-US" w:eastAsia="zh-CN" w:bidi="ar-SA"/>
        </w:rPr>
        <w:t>第十</w:t>
      </w:r>
      <w:r>
        <w:rPr>
          <w:rFonts w:hint="eastAsia" w:eastAsia="仿宋_GB2312" w:cs="Times New Roman"/>
          <w:b/>
          <w:bCs/>
          <w:color w:val="auto"/>
          <w:spacing w:val="0"/>
          <w:kern w:val="2"/>
          <w:sz w:val="32"/>
          <w:szCs w:val="32"/>
          <w:u w:val="none"/>
          <w:lang w:val="en-US" w:eastAsia="zh-CN" w:bidi="ar-SA"/>
        </w:rPr>
        <w:t>三</w:t>
      </w:r>
      <w:r>
        <w:rPr>
          <w:rFonts w:hint="default" w:ascii="Times New Roman" w:hAnsi="Times New Roman" w:eastAsia="仿宋_GB2312" w:cs="Times New Roman"/>
          <w:b/>
          <w:bCs/>
          <w:color w:val="auto"/>
          <w:spacing w:val="0"/>
          <w:kern w:val="2"/>
          <w:sz w:val="32"/>
          <w:szCs w:val="32"/>
          <w:u w:val="none"/>
          <w:lang w:val="en-US" w:eastAsia="zh-CN" w:bidi="ar-SA"/>
        </w:rPr>
        <w:t>条</w:t>
      </w:r>
      <w:r>
        <w:rPr>
          <w:rFonts w:hint="eastAsia" w:ascii="Times New Roman" w:hAnsi="Times New Roman" w:eastAsia="仿宋_GB2312" w:cs="Times New Roman"/>
          <w:b/>
          <w:bCs/>
          <w:color w:val="auto"/>
          <w:spacing w:val="0"/>
          <w:kern w:val="2"/>
          <w:sz w:val="32"/>
          <w:szCs w:val="32"/>
          <w:u w:val="none"/>
          <w:lang w:val="en-US" w:eastAsia="zh-CN" w:bidi="ar-SA"/>
        </w:rPr>
        <w:t xml:space="preserve"> </w:t>
      </w:r>
      <w:r>
        <w:rPr>
          <w:rFonts w:hint="default" w:ascii="Times New Roman" w:hAnsi="Times New Roman" w:eastAsia="仿宋_GB2312" w:cs="Times New Roman"/>
          <w:b w:val="0"/>
          <w:bCs w:val="0"/>
          <w:color w:val="auto"/>
          <w:sz w:val="32"/>
          <w:szCs w:val="32"/>
          <w:u w:val="none"/>
          <w:shd w:val="clear" w:color="auto" w:fill="FFFFFF"/>
          <w:lang w:val="en-US" w:eastAsia="zh-CN"/>
        </w:rPr>
        <w:t>申报单位的同一项目在同一年度内只能享受一项奖补资金。</w:t>
      </w:r>
      <w:r>
        <w:rPr>
          <w:rFonts w:hint="eastAsia" w:ascii="Times New Roman" w:hAnsi="Times New Roman" w:eastAsia="仿宋_GB2312" w:cs="Times New Roman"/>
          <w:b w:val="0"/>
          <w:bCs w:val="0"/>
          <w:color w:val="auto"/>
          <w:sz w:val="32"/>
          <w:szCs w:val="32"/>
          <w:u w:val="none"/>
          <w:shd w:val="clear" w:color="auto" w:fill="FFFFFF"/>
          <w:lang w:val="en-US" w:eastAsia="zh-CN"/>
        </w:rPr>
        <w:t>申</w:t>
      </w:r>
      <w:r>
        <w:rPr>
          <w:rFonts w:hint="default" w:ascii="Times New Roman" w:hAnsi="Times New Roman" w:eastAsia="仿宋_GB2312" w:cs="Times New Roman"/>
          <w:b w:val="0"/>
          <w:bCs w:val="0"/>
          <w:color w:val="auto"/>
          <w:sz w:val="32"/>
          <w:szCs w:val="32"/>
          <w:u w:val="none"/>
          <w:shd w:val="clear" w:color="auto" w:fill="FFFFFF"/>
          <w:lang w:val="en-US" w:eastAsia="zh-CN"/>
        </w:rPr>
        <w:t>报单位已获得奖补资金的同一项目，之后的年度不得重复</w:t>
      </w:r>
      <w:r>
        <w:rPr>
          <w:rFonts w:hint="eastAsia" w:ascii="Times New Roman" w:hAnsi="Times New Roman" w:eastAsia="仿宋_GB2312" w:cs="Times New Roman"/>
          <w:b w:val="0"/>
          <w:bCs w:val="0"/>
          <w:color w:val="auto"/>
          <w:sz w:val="32"/>
          <w:szCs w:val="32"/>
          <w:u w:val="none"/>
          <w:shd w:val="clear" w:color="auto" w:fill="FFFFFF"/>
          <w:lang w:val="en-US" w:eastAsia="zh-CN"/>
        </w:rPr>
        <w:t>申</w:t>
      </w:r>
      <w:r>
        <w:rPr>
          <w:rFonts w:hint="default" w:ascii="Times New Roman" w:hAnsi="Times New Roman" w:eastAsia="仿宋_GB2312" w:cs="Times New Roman"/>
          <w:b w:val="0"/>
          <w:bCs w:val="0"/>
          <w:color w:val="auto"/>
          <w:sz w:val="32"/>
          <w:szCs w:val="32"/>
          <w:u w:val="none"/>
          <w:shd w:val="clear" w:color="auto" w:fill="FFFFFF"/>
          <w:lang w:val="en-US" w:eastAsia="zh-CN"/>
        </w:rPr>
        <w:t>报。</w:t>
      </w:r>
    </w:p>
    <w:p>
      <w:pPr>
        <w:keepNext w:val="0"/>
        <w:keepLines w:val="0"/>
        <w:pageBreakBefore w:val="0"/>
        <w:widowControl w:val="0"/>
        <w:kinsoku/>
        <w:wordWrap/>
        <w:overflowPunct/>
        <w:topLinePunct w:val="0"/>
        <w:autoSpaceDE/>
        <w:autoSpaceDN/>
        <w:bidi w:val="0"/>
        <w:adjustRightInd/>
        <w:snapToGrid/>
        <w:spacing w:line="240" w:lineRule="auto"/>
        <w:ind w:firstLine="642" w:firstLineChars="200"/>
        <w:textAlignment w:val="auto"/>
        <w:outlineLvl w:val="1"/>
        <w:rPr>
          <w:rFonts w:hint="default" w:ascii="Times New Roman" w:hAnsi="Times New Roman" w:cs="Times New Roman"/>
          <w:color w:val="auto"/>
        </w:rPr>
      </w:pPr>
      <w:r>
        <w:rPr>
          <w:rFonts w:hint="default" w:ascii="Times New Roman" w:hAnsi="Times New Roman" w:eastAsia="仿宋_GB2312" w:cs="Times New Roman"/>
          <w:b/>
          <w:bCs/>
          <w:color w:val="auto"/>
          <w:spacing w:val="0"/>
          <w:kern w:val="2"/>
          <w:sz w:val="32"/>
          <w:szCs w:val="32"/>
          <w:u w:val="none"/>
          <w:lang w:val="en-US" w:eastAsia="zh-CN" w:bidi="ar-SA"/>
        </w:rPr>
        <w:t>第十</w:t>
      </w:r>
      <w:r>
        <w:rPr>
          <w:rFonts w:hint="eastAsia" w:eastAsia="仿宋_GB2312" w:cs="Times New Roman"/>
          <w:b/>
          <w:bCs/>
          <w:color w:val="auto"/>
          <w:spacing w:val="0"/>
          <w:kern w:val="2"/>
          <w:sz w:val="32"/>
          <w:szCs w:val="32"/>
          <w:u w:val="none"/>
          <w:lang w:val="en-US" w:eastAsia="zh-CN" w:bidi="ar-SA"/>
        </w:rPr>
        <w:t>四</w:t>
      </w:r>
      <w:r>
        <w:rPr>
          <w:rFonts w:hint="default" w:ascii="Times New Roman" w:hAnsi="Times New Roman" w:eastAsia="仿宋_GB2312" w:cs="Times New Roman"/>
          <w:b/>
          <w:bCs/>
          <w:color w:val="auto"/>
          <w:spacing w:val="0"/>
          <w:kern w:val="2"/>
          <w:sz w:val="32"/>
          <w:szCs w:val="32"/>
          <w:u w:val="none"/>
          <w:lang w:val="en-US" w:eastAsia="zh-CN" w:bidi="ar-SA"/>
        </w:rPr>
        <w:t>条</w:t>
      </w:r>
      <w:r>
        <w:rPr>
          <w:rFonts w:hint="eastAsia" w:ascii="Times New Roman" w:hAnsi="Times New Roman" w:eastAsia="仿宋_GB2312" w:cs="Times New Roman"/>
          <w:b/>
          <w:bCs/>
          <w:color w:val="auto"/>
          <w:spacing w:val="0"/>
          <w:kern w:val="2"/>
          <w:sz w:val="32"/>
          <w:szCs w:val="32"/>
          <w:u w:val="none"/>
          <w:lang w:val="en-US" w:eastAsia="zh-CN" w:bidi="ar-SA"/>
        </w:rPr>
        <w:t xml:space="preserve"> </w:t>
      </w:r>
      <w:r>
        <w:rPr>
          <w:rFonts w:hint="default" w:ascii="Times New Roman" w:hAnsi="Times New Roman" w:eastAsia="仿宋_GB2312" w:cs="Times New Roman"/>
          <w:color w:val="auto"/>
          <w:sz w:val="32"/>
          <w:szCs w:val="32"/>
          <w:shd w:val="clear" w:color="auto" w:fill="FFFFFF"/>
        </w:rPr>
        <w:t>本细则自</w:t>
      </w:r>
      <w:r>
        <w:rPr>
          <w:rFonts w:hint="default" w:ascii="Times New Roman" w:hAnsi="Times New Roman" w:eastAsia="仿宋_GB2312" w:cs="Times New Roman"/>
          <w:color w:val="auto"/>
          <w:sz w:val="32"/>
          <w:szCs w:val="32"/>
          <w:shd w:val="clear" w:color="auto" w:fill="FFFFFF"/>
          <w:lang w:eastAsia="zh-CN"/>
        </w:rPr>
        <w:t>印发</w:t>
      </w:r>
      <w:r>
        <w:rPr>
          <w:rFonts w:hint="default" w:ascii="Times New Roman" w:hAnsi="Times New Roman" w:eastAsia="仿宋_GB2312" w:cs="Times New Roman"/>
          <w:color w:val="auto"/>
          <w:sz w:val="32"/>
          <w:szCs w:val="32"/>
          <w:shd w:val="clear" w:color="auto" w:fill="FFFFFF"/>
        </w:rPr>
        <w:t>之日起施行，期间如有变化，将按规定作出调整。执行期与《黑龙江省人民政府关于印发推动“数字龙江”建设加快数字经济高质量发展若干政策措施的通知》（黑政规</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lang w:val="en-US" w:eastAsia="zh-CN"/>
        </w:rPr>
        <w:t>2021</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shd w:val="clear" w:color="auto" w:fill="FFFFFF"/>
        </w:rPr>
        <w:t>14号）保持一致。</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color w:val="auto"/>
          <w:sz w:val="32"/>
          <w:szCs w:val="32"/>
          <w:lang w:eastAsia="zh-CN"/>
        </w:rPr>
        <w:t>附件：黑龙江省重点数字产品指导目录</w:t>
      </w:r>
    </w:p>
    <w:p>
      <w:pPr>
        <w:keepNext w:val="0"/>
        <w:keepLines w:val="0"/>
        <w:pageBreakBefore w:val="0"/>
        <w:widowControl w:val="0"/>
        <w:kinsoku/>
        <w:wordWrap/>
        <w:overflowPunct/>
        <w:topLinePunct w:val="0"/>
        <w:autoSpaceDE/>
        <w:autoSpaceDN/>
        <w:bidi w:val="0"/>
        <w:adjustRightInd/>
        <w:snapToGrid/>
        <w:spacing w:line="240" w:lineRule="auto"/>
        <w:ind w:left="2878" w:leftChars="304" w:hanging="2240" w:hangingChars="700"/>
        <w:jc w:val="left"/>
        <w:textAlignment w:val="auto"/>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32"/>
          <w:szCs w:val="32"/>
        </w:rPr>
      </w:pPr>
    </w:p>
    <w:p>
      <w:pPr>
        <w:pStyle w:val="2"/>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黑龙江省重点数字产品指导目录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指导目录》分为重点支持和积极培育两类，重点支持的产品共9个类别，这些产品在我省有产业基础和技术支撑、可有效推动我省产业融合发展；积极培育的产品共3个类别，是符合国家产业政策导向、市场需求旺盛、处于技术前沿。</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重点支持目录</w:t>
      </w:r>
    </w:p>
    <w:tbl>
      <w:tblPr>
        <w:tblStyle w:val="6"/>
        <w:tblpPr w:leftFromText="180" w:rightFromText="180" w:vertAnchor="text" w:horzAnchor="page" w:tblpXSpec="center" w:tblpY="502"/>
        <w:tblOverlap w:val="never"/>
        <w:tblW w:w="8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5"/>
        <w:gridCol w:w="2235"/>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产品类别</w:t>
            </w:r>
          </w:p>
        </w:tc>
        <w:tc>
          <w:tcPr>
            <w:tcW w:w="4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半导体材料和装备</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碳化硅、砷化镓、蓝宝石、</w:t>
            </w:r>
            <w:r>
              <w:rPr>
                <w:rFonts w:hint="eastAsia" w:ascii="仿宋_GB2312" w:hAnsi="宋体" w:eastAsia="仿宋_GB2312" w:cs="仿宋_GB2312"/>
                <w:i w:val="0"/>
                <w:color w:val="000000"/>
                <w:kern w:val="0"/>
                <w:sz w:val="24"/>
                <w:szCs w:val="24"/>
                <w:u w:val="none"/>
                <w:lang w:val="en-US" w:eastAsia="zh-CN" w:bidi="ar"/>
              </w:rPr>
              <w:t>碲化镉、单晶硅、超薄柔性玻璃、液晶、玻璃基板等材料及生产装备制造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传感器</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在航空航天、汽车、气象、工业控制、农业等领域应用的压力、温度、湿度、加速度、</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声、磁、化学与生物、光、电等传感器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光学产品</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激光通信系统、多光谱检测设备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计算机及外设</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基于国产CPU和操作系统的服务器、个人电脑、便携终端、</w:t>
            </w:r>
            <w:r>
              <w:rPr>
                <w:rFonts w:hint="eastAsia" w:ascii="仿宋_GB2312" w:hAnsi="宋体" w:eastAsia="仿宋_GB2312" w:cs="仿宋_GB2312"/>
                <w:i w:val="0"/>
                <w:color w:val="000000"/>
                <w:kern w:val="0"/>
                <w:sz w:val="24"/>
                <w:szCs w:val="24"/>
                <w:highlight w:val="none"/>
                <w:u w:val="none"/>
                <w:lang w:val="en-US" w:eastAsia="zh-CN" w:bidi="ar"/>
              </w:rPr>
              <w:t>显示器</w:t>
            </w:r>
            <w:r>
              <w:rPr>
                <w:rFonts w:hint="eastAsia" w:ascii="仿宋_GB2312" w:hAnsi="宋体" w:eastAsia="仿宋_GB2312" w:cs="仿宋_GB2312"/>
                <w:i w:val="0"/>
                <w:color w:val="000000"/>
                <w:kern w:val="0"/>
                <w:sz w:val="24"/>
                <w:szCs w:val="24"/>
                <w:u w:val="none"/>
                <w:lang w:val="en-US" w:eastAsia="zh-CN" w:bidi="ar"/>
              </w:rPr>
              <w:t>、打印机、存储器以及工控机，嵌入式计算机等产品制造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电池</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动力电池、</w:t>
            </w:r>
            <w:r>
              <w:rPr>
                <w:rFonts w:hint="eastAsia" w:ascii="仿宋_GB2312" w:hAnsi="宋体" w:eastAsia="仿宋_GB2312" w:cs="仿宋_GB2312"/>
                <w:i w:val="0"/>
                <w:color w:val="000000"/>
                <w:kern w:val="0"/>
                <w:sz w:val="24"/>
                <w:szCs w:val="24"/>
                <w:highlight w:val="none"/>
                <w:u w:val="none"/>
                <w:lang w:val="en-US" w:eastAsia="zh-CN" w:bidi="ar"/>
              </w:rPr>
              <w:t>储能电池</w:t>
            </w:r>
            <w:r>
              <w:rPr>
                <w:rFonts w:hint="eastAsia" w:ascii="仿宋_GB2312" w:hAnsi="宋体" w:eastAsia="仿宋_GB2312" w:cs="仿宋_GB2312"/>
                <w:i w:val="0"/>
                <w:color w:val="000000"/>
                <w:kern w:val="0"/>
                <w:sz w:val="24"/>
                <w:szCs w:val="24"/>
                <w:u w:val="none"/>
                <w:lang w:val="en-US" w:eastAsia="zh-CN" w:bidi="ar"/>
              </w:rPr>
              <w:t>、电动工具、数码及其他</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b/>
          <w:bCs/>
          <w:sz w:val="32"/>
          <w:szCs w:val="32"/>
        </w:rPr>
      </w:pPr>
    </w:p>
    <w:tbl>
      <w:tblPr>
        <w:tblStyle w:val="6"/>
        <w:tblW w:w="8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35"/>
        <w:gridCol w:w="2235"/>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10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22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产品类别</w:t>
            </w:r>
          </w:p>
        </w:tc>
        <w:tc>
          <w:tcPr>
            <w:tcW w:w="4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汽车电子</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汽车仪表、汽车电驱动总成、驱动电机、功率电子控制器、汽车总线产品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工业数字控制系统</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集散式控制系统(DCS)、可编程逻辑控制器(PLC)、监视控制与数据采集(SCADA)设备、工业网联设备、工业机器人、电工仪表等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消费电子</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老年服务电子设备、健康电子设备、服务机器人</w:t>
            </w:r>
            <w:r>
              <w:rPr>
                <w:rFonts w:hint="eastAsia" w:ascii="仿宋_GB2312" w:hAnsi="宋体" w:eastAsia="仿宋_GB2312" w:cs="仿宋_GB2312"/>
                <w:i w:val="0"/>
                <w:color w:val="000000"/>
                <w:kern w:val="0"/>
                <w:sz w:val="24"/>
                <w:szCs w:val="24"/>
                <w:u w:val="none"/>
                <w:lang w:val="en-US" w:eastAsia="zh-CN" w:bidi="ar"/>
              </w:rPr>
              <w:t>、视频监控设备、摄像头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北斗导航</w:t>
            </w:r>
          </w:p>
        </w:tc>
        <w:tc>
          <w:tcPr>
            <w:tcW w:w="4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车载北斗导航设备、北斗导航便携终端、基</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于北斗导航的应急救援设备、</w:t>
            </w:r>
            <w:r>
              <w:rPr>
                <w:rFonts w:hint="eastAsia" w:ascii="仿宋_GB2312" w:hAnsi="宋体" w:eastAsia="仿宋_GB2312" w:cs="仿宋_GB2312"/>
                <w:i w:val="0"/>
                <w:color w:val="000000"/>
                <w:kern w:val="0"/>
                <w:sz w:val="24"/>
                <w:szCs w:val="24"/>
                <w:u w:val="none"/>
                <w:lang w:val="en-US" w:eastAsia="zh-CN" w:bidi="ar"/>
              </w:rPr>
              <w:t>北斗芯片</w:t>
            </w:r>
          </w:p>
        </w:tc>
      </w:tr>
    </w:tbl>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积极培育目录</w:t>
      </w:r>
      <w:bookmarkStart w:id="0" w:name="_GoBack"/>
      <w:bookmarkEnd w:id="0"/>
    </w:p>
    <w:tbl>
      <w:tblPr>
        <w:tblStyle w:val="6"/>
        <w:tblpPr w:leftFromText="180" w:rightFromText="180" w:vertAnchor="text" w:horzAnchor="page" w:tblpX="2056" w:tblpY="456"/>
        <w:tblOverlap w:val="never"/>
        <w:tblW w:w="8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5"/>
        <w:gridCol w:w="3555"/>
        <w:gridCol w:w="3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35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产品类别</w:t>
            </w:r>
          </w:p>
        </w:tc>
        <w:tc>
          <w:tcPr>
            <w:tcW w:w="3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hAnsi="Times New Roman"/>
                <w:lang w:val="en-US" w:eastAsia="zh-CN" w:bidi="ar"/>
              </w:rPr>
              <w:t>硅光子芯片</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11"/>
                <w:rFonts w:hAnsi="Times New Roman"/>
                <w:lang w:val="en-US" w:eastAsia="zh-CN" w:bidi="ar"/>
              </w:rPr>
              <w:t>硅光子芯片的设计、先进封装和测试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hAnsi="Times New Roman"/>
                <w:lang w:val="en-US" w:eastAsia="zh-CN" w:bidi="ar"/>
              </w:rPr>
              <w:t>虚拟现实</w:t>
            </w:r>
            <w:r>
              <w:rPr>
                <w:rStyle w:val="12"/>
                <w:rFonts w:eastAsia="宋体"/>
                <w:lang w:val="en-US" w:eastAsia="zh-CN" w:bidi="ar"/>
              </w:rPr>
              <w:t>(VR)</w:t>
            </w:r>
            <w:r>
              <w:rPr>
                <w:rStyle w:val="11"/>
                <w:rFonts w:hAnsi="Times New Roman"/>
                <w:lang w:val="en-US" w:eastAsia="zh-CN" w:bidi="ar"/>
              </w:rPr>
              <w:t>、增强现实</w:t>
            </w:r>
            <w:r>
              <w:rPr>
                <w:rStyle w:val="12"/>
                <w:rFonts w:eastAsia="宋体"/>
                <w:lang w:val="en-US" w:eastAsia="zh-CN" w:bidi="ar"/>
              </w:rPr>
              <w:t>(AR)</w:t>
            </w:r>
            <w:r>
              <w:rPr>
                <w:rStyle w:val="11"/>
                <w:rFonts w:hAnsi="Times New Roman"/>
                <w:lang w:val="en-US" w:eastAsia="zh-CN" w:bidi="ar"/>
              </w:rPr>
              <w:t>、混合现实</w:t>
            </w:r>
            <w:r>
              <w:rPr>
                <w:rStyle w:val="12"/>
                <w:rFonts w:eastAsia="宋体"/>
                <w:lang w:val="en-US" w:eastAsia="zh-CN" w:bidi="ar"/>
              </w:rPr>
              <w:t>(MR)</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11"/>
                <w:rFonts w:hAnsi="Times New Roman"/>
                <w:lang w:val="en-US" w:eastAsia="zh-CN" w:bidi="ar"/>
              </w:rPr>
              <w:t>用于工业、教育、旅游、农业、医疗、产教融合、数字化展示等方面的虚拟现实</w:t>
            </w:r>
            <w:r>
              <w:rPr>
                <w:rStyle w:val="12"/>
                <w:rFonts w:eastAsia="宋体"/>
                <w:lang w:val="en-US" w:eastAsia="zh-CN" w:bidi="ar"/>
              </w:rPr>
              <w:t>(VR)</w:t>
            </w:r>
            <w:r>
              <w:rPr>
                <w:rStyle w:val="11"/>
                <w:rFonts w:hAnsi="Times New Roman"/>
                <w:lang w:val="en-US" w:eastAsia="zh-CN" w:bidi="ar"/>
              </w:rPr>
              <w:t>、增强现实</w:t>
            </w:r>
            <w:r>
              <w:rPr>
                <w:rStyle w:val="12"/>
                <w:rFonts w:eastAsia="宋体"/>
                <w:lang w:val="en-US" w:eastAsia="zh-CN" w:bidi="ar"/>
              </w:rPr>
              <w:t>(AR)</w:t>
            </w:r>
            <w:r>
              <w:rPr>
                <w:rStyle w:val="11"/>
                <w:rFonts w:hAnsi="Times New Roman"/>
                <w:lang w:val="en-US" w:eastAsia="zh-CN" w:bidi="ar"/>
              </w:rPr>
              <w:t>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3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1"/>
                <w:rFonts w:hAnsi="Times New Roman"/>
                <w:lang w:val="en-US" w:eastAsia="zh-CN" w:bidi="ar"/>
              </w:rPr>
              <w:t>量子信息</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sz w:val="24"/>
                <w:szCs w:val="24"/>
                <w:u w:val="none"/>
              </w:rPr>
            </w:pPr>
            <w:r>
              <w:rPr>
                <w:rStyle w:val="11"/>
                <w:rFonts w:hAnsi="Times New Roman"/>
                <w:lang w:val="en-US" w:eastAsia="zh-CN" w:bidi="ar"/>
              </w:rPr>
              <w:t>量子计算、量子通信</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仿宋_GB2312" w:cs="Times New Roman"/>
          <w:b/>
          <w:bCs/>
          <w:sz w:val="32"/>
          <w:szCs w:val="32"/>
        </w:rPr>
      </w:pPr>
    </w:p>
    <w:p>
      <w:pPr>
        <w:rPr>
          <w:rFonts w:hint="default"/>
        </w:rPr>
      </w:pPr>
    </w:p>
    <w:sectPr>
      <w:footerReference r:id="rId3" w:type="default"/>
      <w:pgSz w:w="11906" w:h="16838"/>
      <w:pgMar w:top="2098"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CE1"/>
    <w:rsid w:val="00041BCD"/>
    <w:rsid w:val="000C3AB3"/>
    <w:rsid w:val="00111B90"/>
    <w:rsid w:val="0019514E"/>
    <w:rsid w:val="00311C9D"/>
    <w:rsid w:val="00626F50"/>
    <w:rsid w:val="006C51F2"/>
    <w:rsid w:val="006E0607"/>
    <w:rsid w:val="006F45F5"/>
    <w:rsid w:val="00737262"/>
    <w:rsid w:val="007712B2"/>
    <w:rsid w:val="007F31D0"/>
    <w:rsid w:val="00845BD5"/>
    <w:rsid w:val="009A369A"/>
    <w:rsid w:val="00A13CE1"/>
    <w:rsid w:val="00C90781"/>
    <w:rsid w:val="00F04406"/>
    <w:rsid w:val="027F2CA3"/>
    <w:rsid w:val="049F7DE3"/>
    <w:rsid w:val="05470685"/>
    <w:rsid w:val="05E1446E"/>
    <w:rsid w:val="085B5A2A"/>
    <w:rsid w:val="0ABFE37A"/>
    <w:rsid w:val="0DBC07FF"/>
    <w:rsid w:val="0DFB1FCC"/>
    <w:rsid w:val="0FBE82B5"/>
    <w:rsid w:val="10A03DD2"/>
    <w:rsid w:val="10F64C24"/>
    <w:rsid w:val="127C4DBC"/>
    <w:rsid w:val="1290609D"/>
    <w:rsid w:val="175C4867"/>
    <w:rsid w:val="17FAD539"/>
    <w:rsid w:val="1B943177"/>
    <w:rsid w:val="1D9F5923"/>
    <w:rsid w:val="1DEC30C1"/>
    <w:rsid w:val="1EFF7BB5"/>
    <w:rsid w:val="1F653636"/>
    <w:rsid w:val="1F6D49F4"/>
    <w:rsid w:val="1FEF6F2C"/>
    <w:rsid w:val="21380A48"/>
    <w:rsid w:val="213E34A7"/>
    <w:rsid w:val="228F56FE"/>
    <w:rsid w:val="250E094B"/>
    <w:rsid w:val="25FD29C5"/>
    <w:rsid w:val="261153A5"/>
    <w:rsid w:val="26307F40"/>
    <w:rsid w:val="276DE10B"/>
    <w:rsid w:val="28152C19"/>
    <w:rsid w:val="28E8510C"/>
    <w:rsid w:val="2B5FB9BB"/>
    <w:rsid w:val="2BBB9628"/>
    <w:rsid w:val="2DBE7817"/>
    <w:rsid w:val="2FEF56D5"/>
    <w:rsid w:val="2FFA0642"/>
    <w:rsid w:val="30D65C3B"/>
    <w:rsid w:val="31326424"/>
    <w:rsid w:val="314E6B9D"/>
    <w:rsid w:val="31736A7C"/>
    <w:rsid w:val="33C11064"/>
    <w:rsid w:val="33FDC3E7"/>
    <w:rsid w:val="340BD76A"/>
    <w:rsid w:val="34EF46A0"/>
    <w:rsid w:val="354DAB3F"/>
    <w:rsid w:val="35D9D9A0"/>
    <w:rsid w:val="36957E76"/>
    <w:rsid w:val="371A057C"/>
    <w:rsid w:val="373B5E3E"/>
    <w:rsid w:val="37787D49"/>
    <w:rsid w:val="37BEDDD2"/>
    <w:rsid w:val="37F334D7"/>
    <w:rsid w:val="38197ACA"/>
    <w:rsid w:val="38F1FA50"/>
    <w:rsid w:val="392E3CA2"/>
    <w:rsid w:val="3B330605"/>
    <w:rsid w:val="3B3D3759"/>
    <w:rsid w:val="3B547DD5"/>
    <w:rsid w:val="3B5B066A"/>
    <w:rsid w:val="3BED5EED"/>
    <w:rsid w:val="3D905B41"/>
    <w:rsid w:val="3DF80EEB"/>
    <w:rsid w:val="3DFD3A9F"/>
    <w:rsid w:val="3EAB0813"/>
    <w:rsid w:val="3EFB9511"/>
    <w:rsid w:val="3FBC5D24"/>
    <w:rsid w:val="3FBD9CD4"/>
    <w:rsid w:val="3FBF1AE6"/>
    <w:rsid w:val="3FC8453C"/>
    <w:rsid w:val="3FCE3F98"/>
    <w:rsid w:val="3FCF6035"/>
    <w:rsid w:val="3FCF9B38"/>
    <w:rsid w:val="3FD2FBF8"/>
    <w:rsid w:val="3FFFEE6D"/>
    <w:rsid w:val="42D70FE9"/>
    <w:rsid w:val="44EEF083"/>
    <w:rsid w:val="46DF0E9A"/>
    <w:rsid w:val="474F6B55"/>
    <w:rsid w:val="4758589C"/>
    <w:rsid w:val="48DF9B19"/>
    <w:rsid w:val="495A0DAD"/>
    <w:rsid w:val="49F47C7E"/>
    <w:rsid w:val="4A934476"/>
    <w:rsid w:val="4ABBF7C9"/>
    <w:rsid w:val="4BDFD63A"/>
    <w:rsid w:val="4DFFD9BA"/>
    <w:rsid w:val="4EA779C3"/>
    <w:rsid w:val="4ED72777"/>
    <w:rsid w:val="4F3FBD89"/>
    <w:rsid w:val="4F9C201E"/>
    <w:rsid w:val="4FCC21D8"/>
    <w:rsid w:val="51B55619"/>
    <w:rsid w:val="51FF17F4"/>
    <w:rsid w:val="529DA00C"/>
    <w:rsid w:val="557FEC34"/>
    <w:rsid w:val="55DD6482"/>
    <w:rsid w:val="55E05D24"/>
    <w:rsid w:val="5604091D"/>
    <w:rsid w:val="56455DF1"/>
    <w:rsid w:val="56F1025E"/>
    <w:rsid w:val="56FA559D"/>
    <w:rsid w:val="576FF67D"/>
    <w:rsid w:val="57DEF808"/>
    <w:rsid w:val="58482C7F"/>
    <w:rsid w:val="59BB0C0B"/>
    <w:rsid w:val="5A9A53AC"/>
    <w:rsid w:val="5BC9E2ED"/>
    <w:rsid w:val="5C1D37B3"/>
    <w:rsid w:val="5C5E4D89"/>
    <w:rsid w:val="5CB32755"/>
    <w:rsid w:val="5CEBFFF7"/>
    <w:rsid w:val="5CEC3556"/>
    <w:rsid w:val="5D4B0BE0"/>
    <w:rsid w:val="5DC7546E"/>
    <w:rsid w:val="5DFFA989"/>
    <w:rsid w:val="5EF1B290"/>
    <w:rsid w:val="5EF4278A"/>
    <w:rsid w:val="5F5EFD37"/>
    <w:rsid w:val="5F954394"/>
    <w:rsid w:val="5FD5A205"/>
    <w:rsid w:val="5FEB3C1D"/>
    <w:rsid w:val="5FF3E15F"/>
    <w:rsid w:val="5FFE0A47"/>
    <w:rsid w:val="5FFE3621"/>
    <w:rsid w:val="603F239A"/>
    <w:rsid w:val="60ED0497"/>
    <w:rsid w:val="622C03E3"/>
    <w:rsid w:val="62FD23C7"/>
    <w:rsid w:val="637FDFEE"/>
    <w:rsid w:val="649B4018"/>
    <w:rsid w:val="67143E8B"/>
    <w:rsid w:val="679F8E4C"/>
    <w:rsid w:val="67C41CBB"/>
    <w:rsid w:val="67E51C06"/>
    <w:rsid w:val="6932A669"/>
    <w:rsid w:val="6A3FEA7A"/>
    <w:rsid w:val="6AB3CAE4"/>
    <w:rsid w:val="6B126A4D"/>
    <w:rsid w:val="6BCF8410"/>
    <w:rsid w:val="6CF53B58"/>
    <w:rsid w:val="6DAF4CAD"/>
    <w:rsid w:val="6DEF08E7"/>
    <w:rsid w:val="6FBEAC9D"/>
    <w:rsid w:val="6FD67631"/>
    <w:rsid w:val="6FFF11D9"/>
    <w:rsid w:val="6FFF45A5"/>
    <w:rsid w:val="70141305"/>
    <w:rsid w:val="70F73CFE"/>
    <w:rsid w:val="70FFD6DF"/>
    <w:rsid w:val="7157D564"/>
    <w:rsid w:val="727628E6"/>
    <w:rsid w:val="72FBD376"/>
    <w:rsid w:val="73479939"/>
    <w:rsid w:val="736D3209"/>
    <w:rsid w:val="7377888B"/>
    <w:rsid w:val="737F3D86"/>
    <w:rsid w:val="739D81B8"/>
    <w:rsid w:val="74BBBB54"/>
    <w:rsid w:val="74D2687E"/>
    <w:rsid w:val="74EF9058"/>
    <w:rsid w:val="75DA08FB"/>
    <w:rsid w:val="75FF8AC7"/>
    <w:rsid w:val="76BD8204"/>
    <w:rsid w:val="776A567F"/>
    <w:rsid w:val="779F0AA8"/>
    <w:rsid w:val="77B9E0BF"/>
    <w:rsid w:val="77C7F777"/>
    <w:rsid w:val="77E777A4"/>
    <w:rsid w:val="78EA073D"/>
    <w:rsid w:val="7A879BAD"/>
    <w:rsid w:val="7AFC78CE"/>
    <w:rsid w:val="7BB664DD"/>
    <w:rsid w:val="7BBFB33D"/>
    <w:rsid w:val="7BFE9AE5"/>
    <w:rsid w:val="7C865339"/>
    <w:rsid w:val="7C9FB441"/>
    <w:rsid w:val="7CD5EAAA"/>
    <w:rsid w:val="7CFFC4A4"/>
    <w:rsid w:val="7D380D29"/>
    <w:rsid w:val="7D9FBD30"/>
    <w:rsid w:val="7DB64FF1"/>
    <w:rsid w:val="7DEEE37D"/>
    <w:rsid w:val="7DFFC55D"/>
    <w:rsid w:val="7E7FE56D"/>
    <w:rsid w:val="7EF29698"/>
    <w:rsid w:val="7EFDFE49"/>
    <w:rsid w:val="7F5A5A1D"/>
    <w:rsid w:val="7F5D400F"/>
    <w:rsid w:val="7F7603E8"/>
    <w:rsid w:val="7F762BB1"/>
    <w:rsid w:val="7F7D4C53"/>
    <w:rsid w:val="7F9E2F8D"/>
    <w:rsid w:val="7FB1498D"/>
    <w:rsid w:val="7FB54BAA"/>
    <w:rsid w:val="7FB731F1"/>
    <w:rsid w:val="7FBFCDC6"/>
    <w:rsid w:val="7FCF8808"/>
    <w:rsid w:val="7FD796C9"/>
    <w:rsid w:val="7FD8D143"/>
    <w:rsid w:val="7FDD927C"/>
    <w:rsid w:val="7FE5DF97"/>
    <w:rsid w:val="7FE95781"/>
    <w:rsid w:val="7FF153B2"/>
    <w:rsid w:val="7FF7A12F"/>
    <w:rsid w:val="7FFA0743"/>
    <w:rsid w:val="7FFD2FF9"/>
    <w:rsid w:val="7FFF1DE0"/>
    <w:rsid w:val="7FFF2609"/>
    <w:rsid w:val="7FFF52E1"/>
    <w:rsid w:val="7FFFB2E1"/>
    <w:rsid w:val="7FFFD739"/>
    <w:rsid w:val="85FFB140"/>
    <w:rsid w:val="866FB357"/>
    <w:rsid w:val="97BEE8A3"/>
    <w:rsid w:val="99570365"/>
    <w:rsid w:val="9AF7843C"/>
    <w:rsid w:val="9BFF9C74"/>
    <w:rsid w:val="9D6BD76A"/>
    <w:rsid w:val="9E75F9FB"/>
    <w:rsid w:val="9FEF9C48"/>
    <w:rsid w:val="A5D70EF4"/>
    <w:rsid w:val="A7EE5E05"/>
    <w:rsid w:val="ADFF7361"/>
    <w:rsid w:val="AE7FDD5A"/>
    <w:rsid w:val="AFDB6A43"/>
    <w:rsid w:val="B39FC208"/>
    <w:rsid w:val="B3FAFBDE"/>
    <w:rsid w:val="B57FD66B"/>
    <w:rsid w:val="B8FF141D"/>
    <w:rsid w:val="BB7F26E9"/>
    <w:rsid w:val="BBCFF3F1"/>
    <w:rsid w:val="BBF63DFF"/>
    <w:rsid w:val="BC6F987D"/>
    <w:rsid w:val="BCBEB53D"/>
    <w:rsid w:val="BCC7DDB6"/>
    <w:rsid w:val="BD0A77A4"/>
    <w:rsid w:val="BDB74F48"/>
    <w:rsid w:val="BDBFDB9D"/>
    <w:rsid w:val="BDFFC812"/>
    <w:rsid w:val="BE5D51A2"/>
    <w:rsid w:val="BFCAF78D"/>
    <w:rsid w:val="BFEA89BE"/>
    <w:rsid w:val="BFF628CE"/>
    <w:rsid w:val="BFFF0876"/>
    <w:rsid w:val="C2FE38E8"/>
    <w:rsid w:val="C77D0A06"/>
    <w:rsid w:val="CE9A10C6"/>
    <w:rsid w:val="CEEF8EA2"/>
    <w:rsid w:val="CF59CCD6"/>
    <w:rsid w:val="CFE9D430"/>
    <w:rsid w:val="CFF237C3"/>
    <w:rsid w:val="CFF60CDD"/>
    <w:rsid w:val="D5EBA285"/>
    <w:rsid w:val="D6FB67A5"/>
    <w:rsid w:val="D7DA42A4"/>
    <w:rsid w:val="D7DD7EA8"/>
    <w:rsid w:val="D7F796A1"/>
    <w:rsid w:val="D7F9B3B7"/>
    <w:rsid w:val="D9C7214C"/>
    <w:rsid w:val="DAEFC9F2"/>
    <w:rsid w:val="DAFF288B"/>
    <w:rsid w:val="DCBFC1BE"/>
    <w:rsid w:val="DCFFB5AA"/>
    <w:rsid w:val="DDBF70CD"/>
    <w:rsid w:val="DE714BB0"/>
    <w:rsid w:val="DEB79E6C"/>
    <w:rsid w:val="DF95DA59"/>
    <w:rsid w:val="DFAC8A46"/>
    <w:rsid w:val="DFB3D84B"/>
    <w:rsid w:val="DFBE7D00"/>
    <w:rsid w:val="DFBF5199"/>
    <w:rsid w:val="DFDB3A20"/>
    <w:rsid w:val="DFEA1F42"/>
    <w:rsid w:val="DFFF23AC"/>
    <w:rsid w:val="DFFFA1EC"/>
    <w:rsid w:val="DFFFAA8B"/>
    <w:rsid w:val="E2B913A0"/>
    <w:rsid w:val="E5F745E9"/>
    <w:rsid w:val="E6DF2E77"/>
    <w:rsid w:val="E6FC3D1F"/>
    <w:rsid w:val="E6FC80EC"/>
    <w:rsid w:val="E79C07DF"/>
    <w:rsid w:val="E7BEE2D8"/>
    <w:rsid w:val="E7DF1B89"/>
    <w:rsid w:val="EA7CF721"/>
    <w:rsid w:val="EAF98DEB"/>
    <w:rsid w:val="EB3F8826"/>
    <w:rsid w:val="EBF32727"/>
    <w:rsid w:val="ECDD30DC"/>
    <w:rsid w:val="EDB7E8C8"/>
    <w:rsid w:val="EDEFF00B"/>
    <w:rsid w:val="EEFB04BC"/>
    <w:rsid w:val="EFACBAFD"/>
    <w:rsid w:val="EFEB4CC1"/>
    <w:rsid w:val="EFF284ED"/>
    <w:rsid w:val="EFF63C74"/>
    <w:rsid w:val="F2B72C06"/>
    <w:rsid w:val="F337A156"/>
    <w:rsid w:val="F4E9F772"/>
    <w:rsid w:val="F62F55DF"/>
    <w:rsid w:val="F659A499"/>
    <w:rsid w:val="F6B396AB"/>
    <w:rsid w:val="F6BEA826"/>
    <w:rsid w:val="F6EEDAC7"/>
    <w:rsid w:val="F756EBA3"/>
    <w:rsid w:val="F7BFCDA6"/>
    <w:rsid w:val="F7D74712"/>
    <w:rsid w:val="F7EE193F"/>
    <w:rsid w:val="F7EF010D"/>
    <w:rsid w:val="F7EF4BF6"/>
    <w:rsid w:val="F7FC5204"/>
    <w:rsid w:val="F7FDFCF0"/>
    <w:rsid w:val="F7FEFDF7"/>
    <w:rsid w:val="F998B5E3"/>
    <w:rsid w:val="F9ABB5CF"/>
    <w:rsid w:val="F9F5C130"/>
    <w:rsid w:val="FABE41CD"/>
    <w:rsid w:val="FAD733EF"/>
    <w:rsid w:val="FADD4C88"/>
    <w:rsid w:val="FAFD2C58"/>
    <w:rsid w:val="FAFF425D"/>
    <w:rsid w:val="FB2E8CD5"/>
    <w:rsid w:val="FB3C4A48"/>
    <w:rsid w:val="FB733B33"/>
    <w:rsid w:val="FB77D4D1"/>
    <w:rsid w:val="FBA7F804"/>
    <w:rsid w:val="FBB9D6E7"/>
    <w:rsid w:val="FBE65399"/>
    <w:rsid w:val="FBF6E51B"/>
    <w:rsid w:val="FBF72411"/>
    <w:rsid w:val="FBFB4AF5"/>
    <w:rsid w:val="FBFFF642"/>
    <w:rsid w:val="FC5311CF"/>
    <w:rsid w:val="FC7B4871"/>
    <w:rsid w:val="FC7F07D0"/>
    <w:rsid w:val="FC9F4DED"/>
    <w:rsid w:val="FCE9069C"/>
    <w:rsid w:val="FDBE2D34"/>
    <w:rsid w:val="FDD69D8D"/>
    <w:rsid w:val="FDEA4753"/>
    <w:rsid w:val="FDFA9467"/>
    <w:rsid w:val="FDFD2529"/>
    <w:rsid w:val="FE395F91"/>
    <w:rsid w:val="FE6D6827"/>
    <w:rsid w:val="FE778684"/>
    <w:rsid w:val="FEB53254"/>
    <w:rsid w:val="FECF9C86"/>
    <w:rsid w:val="FEDB4E1F"/>
    <w:rsid w:val="FEDEA355"/>
    <w:rsid w:val="FEDF5B46"/>
    <w:rsid w:val="FEDF9007"/>
    <w:rsid w:val="FEEA4D1C"/>
    <w:rsid w:val="FEEF621B"/>
    <w:rsid w:val="FEFF7339"/>
    <w:rsid w:val="FF16B78C"/>
    <w:rsid w:val="FF29BB41"/>
    <w:rsid w:val="FF2B95A3"/>
    <w:rsid w:val="FF6CF077"/>
    <w:rsid w:val="FF736CC3"/>
    <w:rsid w:val="FF7DBA31"/>
    <w:rsid w:val="FF95DD6E"/>
    <w:rsid w:val="FFB9034F"/>
    <w:rsid w:val="FFBF14E1"/>
    <w:rsid w:val="FFCF4C3D"/>
    <w:rsid w:val="FFDF3DBE"/>
    <w:rsid w:val="FFEF58AA"/>
    <w:rsid w:val="FFFB5536"/>
    <w:rsid w:val="FFFB9BB2"/>
    <w:rsid w:val="FFFBAD05"/>
    <w:rsid w:val="FFFDC689"/>
    <w:rsid w:val="FFFEBF03"/>
    <w:rsid w:val="FFFEF9AF"/>
    <w:rsid w:val="FFFEFDF8"/>
    <w:rsid w:val="FFFF9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contextualSpacing/>
    </w:pPr>
    <w:rPr>
      <w:rFonts w:asciiTheme="majorHAnsi" w:hAnsiTheme="majorHAnsi" w:eastAsiaTheme="majorEastAsia" w:cstheme="majorBidi"/>
      <w:spacing w:val="-10"/>
      <w:kern w:val="28"/>
      <w:sz w:val="56"/>
      <w:szCs w:val="5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纯文本1"/>
    <w:basedOn w:val="1"/>
    <w:qFormat/>
    <w:uiPriority w:val="0"/>
    <w:rPr>
      <w:rFonts w:ascii="宋体" w:hAnsi="Courier New"/>
    </w:rPr>
  </w:style>
  <w:style w:type="character" w:customStyle="1" w:styleId="11">
    <w:name w:val="font21"/>
    <w:basedOn w:val="8"/>
    <w:qFormat/>
    <w:uiPriority w:val="0"/>
    <w:rPr>
      <w:rFonts w:hint="eastAsia" w:ascii="仿宋_GB2312" w:eastAsia="仿宋_GB2312" w:cs="仿宋_GB2312"/>
      <w:color w:val="000000"/>
      <w:sz w:val="24"/>
      <w:szCs w:val="24"/>
      <w:u w:val="none"/>
    </w:rPr>
  </w:style>
  <w:style w:type="character" w:customStyle="1" w:styleId="12">
    <w:name w:val="font0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232</Words>
  <Characters>1328</Characters>
  <Lines>11</Lines>
  <Paragraphs>3</Paragraphs>
  <TotalTime>28</TotalTime>
  <ScaleCrop>false</ScaleCrop>
  <LinksUpToDate>false</LinksUpToDate>
  <CharactersWithSpaces>1557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2014-11-23T04:08:00Z</dcterms:created>
  <dc:creator>Administrator</dc:creator>
  <cp:lastModifiedBy>greatwall</cp:lastModifiedBy>
  <cp:lastPrinted>2024-04-20T18:02:00Z</cp:lastPrinted>
  <dcterms:modified xsi:type="dcterms:W3CDTF">2024-05-29T09:19:54Z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FD65A79903A249E5AC88BD101E9AA472</vt:lpwstr>
  </property>
</Properties>
</file>