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0" w:firstLineChars="0"/>
        <w:jc w:val="left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eastAsia="黑体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  <w:highlight w:val="none"/>
          <w:lang w:val="en-US" w:eastAsia="zh-CN"/>
        </w:rPr>
        <w:t>XX市</w:t>
      </w:r>
      <w:r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  <w:highlight w:val="none"/>
          <w:lang w:val="en" w:eastAsia="zh-CN"/>
        </w:rPr>
        <w:t>（</w:t>
      </w:r>
      <w:r>
        <w:rPr>
          <w:rFonts w:hint="eastAsia" w:eastAsia="方正小标宋简体" w:cs="Times New Roman"/>
          <w:color w:val="auto"/>
          <w:spacing w:val="-11"/>
          <w:sz w:val="44"/>
          <w:szCs w:val="44"/>
          <w:highlight w:val="none"/>
          <w:lang w:val="en" w:eastAsia="zh-CN"/>
        </w:rPr>
        <w:t>地</w:t>
      </w:r>
      <w:r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  <w:highlight w:val="none"/>
          <w:lang w:val="en" w:eastAsia="zh-CN"/>
        </w:rPr>
        <w:t>）</w:t>
      </w:r>
      <w:r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  <w:highlight w:val="none"/>
          <w:lang w:val="en-US" w:eastAsia="zh-CN"/>
        </w:rPr>
        <w:t>创新型中小企业名单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8"/>
        <w:ind w:left="0" w:leftChars="0" w:firstLine="0" w:firstLineChars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单位名称（盖章）：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700"/>
        <w:gridCol w:w="1084"/>
        <w:gridCol w:w="1097"/>
        <w:gridCol w:w="1914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0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评价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得分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是否为直通企业</w:t>
            </w:r>
            <w:r>
              <w:rPr>
                <w:rFonts w:hint="eastAsia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是/否</w:t>
            </w:r>
            <w:r>
              <w:rPr>
                <w:rFonts w:hint="eastAsia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）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满足的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直通条件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企业联系人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…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8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pStyle w:val="8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ECBCB"/>
    <w:rsid w:val="43FECBCB"/>
    <w:rsid w:val="57FF3FD3"/>
    <w:rsid w:val="5FB6D50D"/>
    <w:rsid w:val="DF7F7AA7"/>
    <w:rsid w:val="DFF6C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2022-11-16T02:20:00Z</dcterms:created>
  <dc:creator>user</dc:creator>
  <cp:lastModifiedBy>greatwall</cp:lastModifiedBy>
  <dcterms:modified xsi:type="dcterms:W3CDTF">2023-04-06T11:48:00Z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